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BE6935" w:rsidRDefault="0046491C" w:rsidP="00E34F08">
      <w:pPr>
        <w:spacing w:after="0" w:line="360" w:lineRule="auto"/>
        <w:jc w:val="both"/>
        <w:rPr>
          <w:rFonts w:ascii="Palatino Linotype" w:hAnsi="Palatino Linotype" w:cs="Arial"/>
          <w:sz w:val="24"/>
          <w:szCs w:val="24"/>
        </w:rPr>
      </w:pPr>
      <w:r w:rsidRPr="00BE6935">
        <w:rPr>
          <w:rFonts w:ascii="Palatino Linotype" w:hAnsi="Palatino Linotype" w:cs="Arial"/>
          <w:b/>
          <w:sz w:val="24"/>
          <w:szCs w:val="24"/>
        </w:rPr>
        <w:t>VOTO PARTICULAR DEL COMISIONADO JOSÉ GUADA</w:t>
      </w:r>
      <w:r w:rsidR="00D72985" w:rsidRPr="00BE6935">
        <w:rPr>
          <w:rFonts w:ascii="Palatino Linotype" w:hAnsi="Palatino Linotype" w:cs="Arial"/>
          <w:b/>
          <w:sz w:val="24"/>
          <w:szCs w:val="24"/>
        </w:rPr>
        <w:t>LUPE LUNA HERNÁNDEZ DEL RECURSO</w:t>
      </w:r>
      <w:r w:rsidR="00BF3534" w:rsidRPr="00BE6935">
        <w:rPr>
          <w:rFonts w:ascii="Palatino Linotype" w:hAnsi="Palatino Linotype" w:cs="Arial"/>
          <w:b/>
          <w:sz w:val="24"/>
          <w:szCs w:val="24"/>
        </w:rPr>
        <w:t xml:space="preserve"> DE REVISIÓN </w:t>
      </w:r>
      <w:r w:rsidR="00D00EF1">
        <w:rPr>
          <w:rFonts w:ascii="Palatino Linotype" w:hAnsi="Palatino Linotype" w:cs="Arial"/>
          <w:b/>
          <w:sz w:val="24"/>
          <w:szCs w:val="24"/>
        </w:rPr>
        <w:t>02085</w:t>
      </w:r>
      <w:r w:rsidR="00C7250F" w:rsidRPr="00BE6935">
        <w:rPr>
          <w:rFonts w:ascii="Palatino Linotype" w:hAnsi="Palatino Linotype" w:cs="Arial"/>
          <w:b/>
          <w:sz w:val="24"/>
          <w:szCs w:val="24"/>
        </w:rPr>
        <w:t>/INFOEM/IP/RR/2018</w:t>
      </w:r>
      <w:r w:rsidR="00D138E4" w:rsidRPr="00BE6935">
        <w:rPr>
          <w:rFonts w:ascii="Palatino Linotype" w:hAnsi="Palatino Linotype" w:cs="Arial"/>
          <w:b/>
          <w:sz w:val="24"/>
          <w:szCs w:val="24"/>
        </w:rPr>
        <w:t xml:space="preserve"> Y ACUMULADOS.</w:t>
      </w: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b/>
          <w:sz w:val="24"/>
          <w:szCs w:val="24"/>
        </w:rPr>
      </w:pPr>
      <w:r w:rsidRPr="00BE6935">
        <w:rPr>
          <w:rFonts w:ascii="Palatino Linotype" w:hAnsi="Palatino Linotype" w:cs="Arial"/>
          <w:b/>
          <w:sz w:val="24"/>
          <w:szCs w:val="24"/>
        </w:rPr>
        <w:t>Líneas argumentativas:</w:t>
      </w:r>
    </w:p>
    <w:p w:rsidR="00902248" w:rsidRPr="00BE6935" w:rsidRDefault="00902248" w:rsidP="003C7244">
      <w:pPr>
        <w:spacing w:after="0" w:line="276" w:lineRule="auto"/>
        <w:jc w:val="both"/>
        <w:rPr>
          <w:rFonts w:ascii="Palatino Linotype" w:hAnsi="Palatino Linotype" w:cs="Arial"/>
          <w:sz w:val="24"/>
          <w:szCs w:val="24"/>
        </w:rPr>
      </w:pPr>
    </w:p>
    <w:p w:rsidR="0046491C" w:rsidRPr="00BE6935" w:rsidRDefault="0046491C" w:rsidP="003C7244">
      <w:pPr>
        <w:spacing w:line="276" w:lineRule="auto"/>
        <w:jc w:val="both"/>
        <w:rPr>
          <w:rFonts w:ascii="Palatino Linotype" w:hAnsi="Palatino Linotype" w:cs="Arial"/>
          <w:sz w:val="24"/>
          <w:szCs w:val="24"/>
        </w:rPr>
      </w:pPr>
      <w:r w:rsidRPr="00BE6935">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E6935" w:rsidRDefault="0046491C" w:rsidP="003C7244">
      <w:pPr>
        <w:spacing w:after="0" w:line="276" w:lineRule="auto"/>
        <w:jc w:val="both"/>
        <w:rPr>
          <w:rFonts w:ascii="Palatino Linotype" w:hAnsi="Palatino Linotype" w:cs="Arial"/>
          <w:sz w:val="24"/>
          <w:szCs w:val="24"/>
        </w:rPr>
      </w:pPr>
    </w:p>
    <w:p w:rsidR="00985973" w:rsidRPr="00BE6935" w:rsidRDefault="00985973" w:rsidP="00985973">
      <w:pPr>
        <w:spacing w:line="360" w:lineRule="auto"/>
        <w:jc w:val="both"/>
        <w:rPr>
          <w:rFonts w:ascii="Palatino Linotype" w:hAnsi="Palatino Linotype"/>
          <w:sz w:val="24"/>
          <w:szCs w:val="24"/>
        </w:rPr>
      </w:pPr>
      <w:r w:rsidRPr="00BE6935">
        <w:rPr>
          <w:rFonts w:ascii="Palatino Linotype" w:hAnsi="Palatino Linotype"/>
          <w:sz w:val="24"/>
          <w:szCs w:val="24"/>
        </w:rPr>
        <w:t>Se presenta una síntesis de todos los elementos y pasos que debe agotar y cumplir el sujeto obligado para clasificar, total o parcialmente, la información. La ausencia de estos elementos puede provocar que se ordene la desclasificación de la información o la reposición del acuerdo.</w:t>
      </w:r>
    </w:p>
    <w:p w:rsidR="00664FC5" w:rsidRPr="00664FC5" w:rsidRDefault="00664FC5" w:rsidP="00664FC5">
      <w:pPr>
        <w:spacing w:after="0" w:line="276" w:lineRule="auto"/>
        <w:jc w:val="both"/>
        <w:rPr>
          <w:rFonts w:ascii="Palatino Linotype" w:hAnsi="Palatino Linotype" w:cs="Arial"/>
          <w:sz w:val="24"/>
          <w:szCs w:val="24"/>
        </w:rPr>
      </w:pPr>
      <w:r>
        <w:rPr>
          <w:rFonts w:ascii="Palatino Linotype" w:hAnsi="Palatino Linotype" w:cs="Arial"/>
          <w:sz w:val="24"/>
          <w:szCs w:val="24"/>
        </w:rPr>
        <w:t>P</w:t>
      </w:r>
      <w:r w:rsidRPr="00664FC5">
        <w:rPr>
          <w:rFonts w:ascii="Palatino Linotype" w:hAnsi="Palatino Linotype"/>
          <w:sz w:val="24"/>
          <w:szCs w:val="24"/>
        </w:rPr>
        <w:t xml:space="preserve">ara acreditar la reserva de la información, es necesario que se actualicen los siguientes requisitos: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La existencia de un juicio o procedimiento administrativo materialmente jurisdiccional.</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el juicio se encuentre en trámite, es decir, que no haya causado estado.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El vínculo entre la información solicitada y el procedimiento judicial de que se trate. </w:t>
      </w:r>
    </w:p>
    <w:p w:rsidR="00664FC5" w:rsidRDefault="00664FC5" w:rsidP="00664FC5">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DC63EE" w:rsidRPr="00BE6935" w:rsidRDefault="00DC63EE" w:rsidP="003C7244">
      <w:pPr>
        <w:spacing w:after="0" w:line="276" w:lineRule="auto"/>
        <w:jc w:val="both"/>
        <w:rPr>
          <w:rFonts w:ascii="Palatino Linotype" w:hAnsi="Palatino Linotype" w:cs="Arial"/>
          <w:sz w:val="24"/>
          <w:szCs w:val="24"/>
        </w:rPr>
      </w:pPr>
    </w:p>
    <w:p w:rsidR="00DC63EE" w:rsidRPr="00BE6935" w:rsidRDefault="00DC63EE" w:rsidP="003C7244">
      <w:pPr>
        <w:spacing w:after="0" w:line="276" w:lineRule="auto"/>
        <w:jc w:val="both"/>
        <w:rPr>
          <w:rFonts w:ascii="Palatino Linotype" w:hAnsi="Palatino Linotype" w:cs="Arial"/>
          <w:sz w:val="24"/>
          <w:szCs w:val="24"/>
        </w:rPr>
      </w:pPr>
    </w:p>
    <w:p w:rsidR="0046491C" w:rsidRPr="00BE6935" w:rsidRDefault="0046491C" w:rsidP="00E34F08">
      <w:pPr>
        <w:spacing w:after="0" w:line="360" w:lineRule="auto"/>
        <w:jc w:val="both"/>
        <w:rPr>
          <w:rFonts w:ascii="Palatino Linotype" w:hAnsi="Palatino Linotype" w:cs="Arial"/>
          <w:sz w:val="28"/>
          <w:szCs w:val="24"/>
        </w:rPr>
      </w:pPr>
      <w:r w:rsidRPr="00BE6935">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BE6935" w:rsidRDefault="0046491C" w:rsidP="00E34F08">
          <w:pPr>
            <w:pStyle w:val="TtulodeTDC"/>
            <w:spacing w:line="360" w:lineRule="auto"/>
            <w:rPr>
              <w:rFonts w:ascii="Palatino Linotype" w:hAnsi="Palatino Linotype"/>
              <w:color w:val="auto"/>
            </w:rPr>
          </w:pPr>
        </w:p>
        <w:p w:rsidR="000A1D52" w:rsidRDefault="0046491C">
          <w:pPr>
            <w:pStyle w:val="TDC1"/>
            <w:rPr>
              <w:rFonts w:eastAsiaTheme="minorEastAsia"/>
              <w:noProof/>
              <w:lang w:eastAsia="es-MX"/>
            </w:rPr>
          </w:pPr>
          <w:r w:rsidRPr="00BE6935">
            <w:rPr>
              <w:rFonts w:ascii="Palatino Linotype" w:hAnsi="Palatino Linotype"/>
            </w:rPr>
            <w:fldChar w:fldCharType="begin"/>
          </w:r>
          <w:r w:rsidRPr="00BE6935">
            <w:rPr>
              <w:rFonts w:ascii="Palatino Linotype" w:hAnsi="Palatino Linotype"/>
            </w:rPr>
            <w:instrText xml:space="preserve"> TOC \o "1-3" \h \z \u </w:instrText>
          </w:r>
          <w:r w:rsidRPr="00BE6935">
            <w:rPr>
              <w:rFonts w:ascii="Palatino Linotype" w:hAnsi="Palatino Linotype"/>
            </w:rPr>
            <w:fldChar w:fldCharType="separate"/>
          </w:r>
          <w:hyperlink w:anchor="_Toc522528211" w:history="1">
            <w:r w:rsidR="000A1D52" w:rsidRPr="00325298">
              <w:rPr>
                <w:rStyle w:val="Hipervnculo"/>
                <w:rFonts w:ascii="Palatino Linotype" w:hAnsi="Palatino Linotype"/>
                <w:b/>
                <w:noProof/>
              </w:rPr>
              <w:t>I.</w:t>
            </w:r>
            <w:r w:rsidR="000A1D52">
              <w:rPr>
                <w:rFonts w:eastAsiaTheme="minorEastAsia"/>
                <w:noProof/>
                <w:lang w:eastAsia="es-MX"/>
              </w:rPr>
              <w:tab/>
            </w:r>
            <w:r w:rsidR="000A1D52" w:rsidRPr="00325298">
              <w:rPr>
                <w:rStyle w:val="Hipervnculo"/>
                <w:rFonts w:ascii="Palatino Linotype" w:hAnsi="Palatino Linotype"/>
                <w:b/>
                <w:noProof/>
              </w:rPr>
              <w:t>Consideraciones Generales.</w:t>
            </w:r>
            <w:r w:rsidR="000A1D52">
              <w:rPr>
                <w:noProof/>
                <w:webHidden/>
              </w:rPr>
              <w:tab/>
            </w:r>
            <w:r w:rsidR="000A1D52">
              <w:rPr>
                <w:noProof/>
                <w:webHidden/>
              </w:rPr>
              <w:fldChar w:fldCharType="begin"/>
            </w:r>
            <w:r w:rsidR="000A1D52">
              <w:rPr>
                <w:noProof/>
                <w:webHidden/>
              </w:rPr>
              <w:instrText xml:space="preserve"> PAGEREF _Toc522528211 \h </w:instrText>
            </w:r>
            <w:r w:rsidR="000A1D52">
              <w:rPr>
                <w:noProof/>
                <w:webHidden/>
              </w:rPr>
            </w:r>
            <w:r w:rsidR="000A1D52">
              <w:rPr>
                <w:noProof/>
                <w:webHidden/>
              </w:rPr>
              <w:fldChar w:fldCharType="separate"/>
            </w:r>
            <w:r w:rsidR="00D00EF1">
              <w:rPr>
                <w:noProof/>
                <w:webHidden/>
              </w:rPr>
              <w:t>3</w:t>
            </w:r>
            <w:r w:rsidR="000A1D52">
              <w:rPr>
                <w:noProof/>
                <w:webHidden/>
              </w:rPr>
              <w:fldChar w:fldCharType="end"/>
            </w:r>
          </w:hyperlink>
        </w:p>
        <w:p w:rsidR="000A1D52" w:rsidRDefault="009673CF">
          <w:pPr>
            <w:pStyle w:val="TDC1"/>
            <w:rPr>
              <w:rFonts w:eastAsiaTheme="minorEastAsia"/>
              <w:noProof/>
              <w:lang w:eastAsia="es-MX"/>
            </w:rPr>
          </w:pPr>
          <w:hyperlink w:anchor="_Toc522528212" w:history="1">
            <w:r w:rsidR="000A1D52" w:rsidRPr="00325298">
              <w:rPr>
                <w:rStyle w:val="Hipervnculo"/>
                <w:rFonts w:ascii="Palatino Linotype" w:hAnsi="Palatino Linotype"/>
                <w:b/>
                <w:noProof/>
              </w:rPr>
              <w:t>II.</w:t>
            </w:r>
            <w:r w:rsidR="000A1D52">
              <w:rPr>
                <w:rFonts w:eastAsiaTheme="minorEastAsia"/>
                <w:noProof/>
                <w:lang w:eastAsia="es-MX"/>
              </w:rPr>
              <w:tab/>
            </w:r>
            <w:r w:rsidR="000A1D52" w:rsidRPr="00325298">
              <w:rPr>
                <w:rStyle w:val="Hipervnculo"/>
                <w:rFonts w:ascii="Palatino Linotype" w:hAnsi="Palatino Linotype"/>
                <w:b/>
                <w:noProof/>
              </w:rPr>
              <w:t>De los requerimientos planteados en el recurso de revisión.</w:t>
            </w:r>
            <w:r w:rsidR="000A1D52">
              <w:rPr>
                <w:noProof/>
                <w:webHidden/>
              </w:rPr>
              <w:tab/>
            </w:r>
            <w:r w:rsidR="000A1D52">
              <w:rPr>
                <w:noProof/>
                <w:webHidden/>
              </w:rPr>
              <w:fldChar w:fldCharType="begin"/>
            </w:r>
            <w:r w:rsidR="000A1D52">
              <w:rPr>
                <w:noProof/>
                <w:webHidden/>
              </w:rPr>
              <w:instrText xml:space="preserve"> PAGEREF _Toc522528212 \h </w:instrText>
            </w:r>
            <w:r w:rsidR="000A1D52">
              <w:rPr>
                <w:noProof/>
                <w:webHidden/>
              </w:rPr>
            </w:r>
            <w:r w:rsidR="000A1D52">
              <w:rPr>
                <w:noProof/>
                <w:webHidden/>
              </w:rPr>
              <w:fldChar w:fldCharType="separate"/>
            </w:r>
            <w:r w:rsidR="00D00EF1">
              <w:rPr>
                <w:noProof/>
                <w:webHidden/>
              </w:rPr>
              <w:t>4</w:t>
            </w:r>
            <w:r w:rsidR="000A1D52">
              <w:rPr>
                <w:noProof/>
                <w:webHidden/>
              </w:rPr>
              <w:fldChar w:fldCharType="end"/>
            </w:r>
          </w:hyperlink>
        </w:p>
        <w:p w:rsidR="000A1D52" w:rsidRDefault="009673CF">
          <w:pPr>
            <w:pStyle w:val="TDC1"/>
            <w:rPr>
              <w:rFonts w:eastAsiaTheme="minorEastAsia"/>
              <w:noProof/>
              <w:lang w:eastAsia="es-MX"/>
            </w:rPr>
          </w:pPr>
          <w:hyperlink w:anchor="_Toc522528213" w:history="1">
            <w:r w:rsidR="000A1D52" w:rsidRPr="00325298">
              <w:rPr>
                <w:rStyle w:val="Hipervnculo"/>
                <w:rFonts w:ascii="Palatino Linotype" w:hAnsi="Palatino Linotype" w:cs="Arial"/>
                <w:b/>
                <w:noProof/>
              </w:rPr>
              <w:t>III.</w:t>
            </w:r>
            <w:r w:rsidR="000A1D52">
              <w:rPr>
                <w:rFonts w:eastAsiaTheme="minorEastAsia"/>
                <w:noProof/>
                <w:lang w:eastAsia="es-MX"/>
              </w:rPr>
              <w:tab/>
            </w:r>
            <w:r w:rsidR="000A1D52" w:rsidRPr="00325298">
              <w:rPr>
                <w:rStyle w:val="Hipervnculo"/>
                <w:rFonts w:ascii="Palatino Linotype" w:hAnsi="Palatino Linotype"/>
                <w:b/>
                <w:noProof/>
              </w:rPr>
              <w:t>Efectos</w:t>
            </w:r>
            <w:r w:rsidR="000A1D52" w:rsidRPr="00325298">
              <w:rPr>
                <w:rStyle w:val="Hipervnculo"/>
                <w:rFonts w:ascii="Palatino Linotype" w:hAnsi="Palatino Linotype" w:cs="Arial"/>
                <w:b/>
                <w:noProof/>
              </w:rPr>
              <w:t xml:space="preserve"> de la clasificación de información y la importancia de emitir acuerdos, para tales efectos, apegados a derecho.</w:t>
            </w:r>
            <w:r w:rsidR="000A1D52">
              <w:rPr>
                <w:noProof/>
                <w:webHidden/>
              </w:rPr>
              <w:tab/>
            </w:r>
            <w:r w:rsidR="000A1D52">
              <w:rPr>
                <w:noProof/>
                <w:webHidden/>
              </w:rPr>
              <w:fldChar w:fldCharType="begin"/>
            </w:r>
            <w:r w:rsidR="000A1D52">
              <w:rPr>
                <w:noProof/>
                <w:webHidden/>
              </w:rPr>
              <w:instrText xml:space="preserve"> PAGEREF _Toc522528213 \h </w:instrText>
            </w:r>
            <w:r w:rsidR="000A1D52">
              <w:rPr>
                <w:noProof/>
                <w:webHidden/>
              </w:rPr>
            </w:r>
            <w:r w:rsidR="000A1D52">
              <w:rPr>
                <w:noProof/>
                <w:webHidden/>
              </w:rPr>
              <w:fldChar w:fldCharType="separate"/>
            </w:r>
            <w:r w:rsidR="00D00EF1">
              <w:rPr>
                <w:noProof/>
                <w:webHidden/>
              </w:rPr>
              <w:t>7</w:t>
            </w:r>
            <w:r w:rsidR="000A1D52">
              <w:rPr>
                <w:noProof/>
                <w:webHidden/>
              </w:rPr>
              <w:fldChar w:fldCharType="end"/>
            </w:r>
          </w:hyperlink>
        </w:p>
        <w:p w:rsidR="000A1D52" w:rsidRDefault="009673CF">
          <w:pPr>
            <w:pStyle w:val="TDC1"/>
            <w:rPr>
              <w:rFonts w:eastAsiaTheme="minorEastAsia"/>
              <w:noProof/>
              <w:lang w:eastAsia="es-MX"/>
            </w:rPr>
          </w:pPr>
          <w:hyperlink w:anchor="_Toc522528214" w:history="1">
            <w:r w:rsidR="000A1D52" w:rsidRPr="00325298">
              <w:rPr>
                <w:rStyle w:val="Hipervnculo"/>
                <w:rFonts w:ascii="Palatino Linotype" w:hAnsi="Palatino Linotype" w:cs="Arial"/>
                <w:b/>
                <w:noProof/>
              </w:rPr>
              <w:t>a.</w:t>
            </w:r>
            <w:r w:rsidR="000A1D52">
              <w:rPr>
                <w:rFonts w:eastAsiaTheme="minorEastAsia"/>
                <w:noProof/>
                <w:lang w:eastAsia="es-MX"/>
              </w:rPr>
              <w:tab/>
            </w:r>
            <w:r w:rsidR="000A1D52" w:rsidRPr="00325298">
              <w:rPr>
                <w:rStyle w:val="Hipervnculo"/>
                <w:rFonts w:ascii="Palatino Linotype" w:hAnsi="Palatino Linotype" w:cs="Arial"/>
                <w:b/>
                <w:noProof/>
              </w:rPr>
              <w:t>Requisitos previos</w:t>
            </w:r>
            <w:r w:rsidR="000A1D52">
              <w:rPr>
                <w:noProof/>
                <w:webHidden/>
              </w:rPr>
              <w:tab/>
            </w:r>
            <w:r w:rsidR="000A1D52">
              <w:rPr>
                <w:noProof/>
                <w:webHidden/>
              </w:rPr>
              <w:fldChar w:fldCharType="begin"/>
            </w:r>
            <w:r w:rsidR="000A1D52">
              <w:rPr>
                <w:noProof/>
                <w:webHidden/>
              </w:rPr>
              <w:instrText xml:space="preserve"> PAGEREF _Toc522528214 \h </w:instrText>
            </w:r>
            <w:r w:rsidR="000A1D52">
              <w:rPr>
                <w:noProof/>
                <w:webHidden/>
              </w:rPr>
            </w:r>
            <w:r w:rsidR="000A1D52">
              <w:rPr>
                <w:noProof/>
                <w:webHidden/>
              </w:rPr>
              <w:fldChar w:fldCharType="separate"/>
            </w:r>
            <w:r w:rsidR="00D00EF1">
              <w:rPr>
                <w:noProof/>
                <w:webHidden/>
              </w:rPr>
              <w:t>9</w:t>
            </w:r>
            <w:r w:rsidR="000A1D52">
              <w:rPr>
                <w:noProof/>
                <w:webHidden/>
              </w:rPr>
              <w:fldChar w:fldCharType="end"/>
            </w:r>
          </w:hyperlink>
        </w:p>
        <w:p w:rsidR="000A1D52" w:rsidRDefault="009673CF">
          <w:pPr>
            <w:pStyle w:val="TDC1"/>
            <w:rPr>
              <w:rFonts w:eastAsiaTheme="minorEastAsia"/>
              <w:noProof/>
              <w:lang w:eastAsia="es-MX"/>
            </w:rPr>
          </w:pPr>
          <w:hyperlink w:anchor="_Toc522528215" w:history="1">
            <w:r w:rsidR="000A1D52" w:rsidRPr="00325298">
              <w:rPr>
                <w:rStyle w:val="Hipervnculo"/>
                <w:rFonts w:ascii="Palatino Linotype" w:hAnsi="Palatino Linotype" w:cs="Arial"/>
                <w:b/>
                <w:noProof/>
              </w:rPr>
              <w:t>b.</w:t>
            </w:r>
            <w:r w:rsidR="000A1D52">
              <w:rPr>
                <w:rFonts w:eastAsiaTheme="minorEastAsia"/>
                <w:noProof/>
                <w:lang w:eastAsia="es-MX"/>
              </w:rPr>
              <w:tab/>
            </w:r>
            <w:r w:rsidR="000A1D52" w:rsidRPr="00325298">
              <w:rPr>
                <w:rStyle w:val="Hipervnculo"/>
                <w:rFonts w:ascii="Palatino Linotype" w:hAnsi="Palatino Linotype" w:cs="Arial"/>
                <w:b/>
                <w:noProof/>
              </w:rPr>
              <w:t>Supuestos de clasificación</w:t>
            </w:r>
            <w:r w:rsidR="000A1D52">
              <w:rPr>
                <w:noProof/>
                <w:webHidden/>
              </w:rPr>
              <w:tab/>
            </w:r>
            <w:r w:rsidR="000A1D52">
              <w:rPr>
                <w:noProof/>
                <w:webHidden/>
              </w:rPr>
              <w:fldChar w:fldCharType="begin"/>
            </w:r>
            <w:r w:rsidR="000A1D52">
              <w:rPr>
                <w:noProof/>
                <w:webHidden/>
              </w:rPr>
              <w:instrText xml:space="preserve"> PAGEREF _Toc522528215 \h </w:instrText>
            </w:r>
            <w:r w:rsidR="000A1D52">
              <w:rPr>
                <w:noProof/>
                <w:webHidden/>
              </w:rPr>
            </w:r>
            <w:r w:rsidR="000A1D52">
              <w:rPr>
                <w:noProof/>
                <w:webHidden/>
              </w:rPr>
              <w:fldChar w:fldCharType="separate"/>
            </w:r>
            <w:r w:rsidR="00D00EF1">
              <w:rPr>
                <w:noProof/>
                <w:webHidden/>
              </w:rPr>
              <w:t>10</w:t>
            </w:r>
            <w:r w:rsidR="000A1D52">
              <w:rPr>
                <w:noProof/>
                <w:webHidden/>
              </w:rPr>
              <w:fldChar w:fldCharType="end"/>
            </w:r>
          </w:hyperlink>
        </w:p>
        <w:p w:rsidR="000A1D52" w:rsidRDefault="009673CF">
          <w:pPr>
            <w:pStyle w:val="TDC1"/>
            <w:rPr>
              <w:rFonts w:eastAsiaTheme="minorEastAsia"/>
              <w:noProof/>
              <w:lang w:eastAsia="es-MX"/>
            </w:rPr>
          </w:pPr>
          <w:hyperlink w:anchor="_Toc522528216" w:history="1">
            <w:r w:rsidR="000A1D52" w:rsidRPr="00325298">
              <w:rPr>
                <w:rStyle w:val="Hipervnculo"/>
                <w:rFonts w:ascii="Palatino Linotype" w:hAnsi="Palatino Linotype" w:cs="Arial"/>
                <w:b/>
                <w:noProof/>
              </w:rPr>
              <w:t>c.</w:t>
            </w:r>
            <w:r w:rsidR="000A1D52">
              <w:rPr>
                <w:rFonts w:eastAsiaTheme="minorEastAsia"/>
                <w:noProof/>
                <w:lang w:eastAsia="es-MX"/>
              </w:rPr>
              <w:tab/>
            </w:r>
            <w:r w:rsidR="000A1D52" w:rsidRPr="00325298">
              <w:rPr>
                <w:rStyle w:val="Hipervnculo"/>
                <w:rFonts w:ascii="Palatino Linotype" w:hAnsi="Palatino Linotype" w:cs="Arial"/>
                <w:b/>
                <w:noProof/>
              </w:rPr>
              <w:t>Excepciones a los supuestos de clasificación de la información como reservada</w:t>
            </w:r>
            <w:r w:rsidR="000A1D52">
              <w:rPr>
                <w:noProof/>
                <w:webHidden/>
              </w:rPr>
              <w:tab/>
            </w:r>
            <w:r w:rsidR="000A1D52">
              <w:rPr>
                <w:noProof/>
                <w:webHidden/>
              </w:rPr>
              <w:fldChar w:fldCharType="begin"/>
            </w:r>
            <w:r w:rsidR="000A1D52">
              <w:rPr>
                <w:noProof/>
                <w:webHidden/>
              </w:rPr>
              <w:instrText xml:space="preserve"> PAGEREF _Toc522528216 \h </w:instrText>
            </w:r>
            <w:r w:rsidR="000A1D52">
              <w:rPr>
                <w:noProof/>
                <w:webHidden/>
              </w:rPr>
            </w:r>
            <w:r w:rsidR="000A1D52">
              <w:rPr>
                <w:noProof/>
                <w:webHidden/>
              </w:rPr>
              <w:fldChar w:fldCharType="separate"/>
            </w:r>
            <w:r w:rsidR="00D00EF1">
              <w:rPr>
                <w:noProof/>
                <w:webHidden/>
              </w:rPr>
              <w:t>15</w:t>
            </w:r>
            <w:r w:rsidR="000A1D52">
              <w:rPr>
                <w:noProof/>
                <w:webHidden/>
              </w:rPr>
              <w:fldChar w:fldCharType="end"/>
            </w:r>
          </w:hyperlink>
        </w:p>
        <w:p w:rsidR="000A1D52" w:rsidRDefault="009673CF">
          <w:pPr>
            <w:pStyle w:val="TDC1"/>
            <w:rPr>
              <w:rFonts w:eastAsiaTheme="minorEastAsia"/>
              <w:noProof/>
              <w:lang w:eastAsia="es-MX"/>
            </w:rPr>
          </w:pPr>
          <w:hyperlink w:anchor="_Toc522528217" w:history="1">
            <w:r w:rsidR="000A1D52" w:rsidRPr="00325298">
              <w:rPr>
                <w:rStyle w:val="Hipervnculo"/>
                <w:rFonts w:ascii="Palatino Linotype" w:hAnsi="Palatino Linotype" w:cs="Arial"/>
                <w:b/>
                <w:noProof/>
              </w:rPr>
              <w:t>d.</w:t>
            </w:r>
            <w:r w:rsidR="000A1D52">
              <w:rPr>
                <w:rFonts w:eastAsiaTheme="minorEastAsia"/>
                <w:noProof/>
                <w:lang w:eastAsia="es-MX"/>
              </w:rPr>
              <w:tab/>
            </w:r>
            <w:r w:rsidR="000A1D52" w:rsidRPr="00325298">
              <w:rPr>
                <w:rStyle w:val="Hipervnculo"/>
                <w:rFonts w:ascii="Palatino Linotype" w:hAnsi="Palatino Linotype" w:cs="Arial"/>
                <w:b/>
                <w:noProof/>
              </w:rPr>
              <w:t>La intervención del Comité de Transparencia.</w:t>
            </w:r>
            <w:r w:rsidR="000A1D52">
              <w:rPr>
                <w:noProof/>
                <w:webHidden/>
              </w:rPr>
              <w:tab/>
            </w:r>
            <w:r w:rsidR="000A1D52">
              <w:rPr>
                <w:noProof/>
                <w:webHidden/>
              </w:rPr>
              <w:fldChar w:fldCharType="begin"/>
            </w:r>
            <w:r w:rsidR="000A1D52">
              <w:rPr>
                <w:noProof/>
                <w:webHidden/>
              </w:rPr>
              <w:instrText xml:space="preserve"> PAGEREF _Toc522528217 \h </w:instrText>
            </w:r>
            <w:r w:rsidR="000A1D52">
              <w:rPr>
                <w:noProof/>
                <w:webHidden/>
              </w:rPr>
            </w:r>
            <w:r w:rsidR="000A1D52">
              <w:rPr>
                <w:noProof/>
                <w:webHidden/>
              </w:rPr>
              <w:fldChar w:fldCharType="separate"/>
            </w:r>
            <w:r w:rsidR="00D00EF1">
              <w:rPr>
                <w:noProof/>
                <w:webHidden/>
              </w:rPr>
              <w:t>16</w:t>
            </w:r>
            <w:r w:rsidR="000A1D52">
              <w:rPr>
                <w:noProof/>
                <w:webHidden/>
              </w:rPr>
              <w:fldChar w:fldCharType="end"/>
            </w:r>
          </w:hyperlink>
        </w:p>
        <w:p w:rsidR="000A1D52" w:rsidRDefault="009673CF">
          <w:pPr>
            <w:pStyle w:val="TDC2"/>
            <w:tabs>
              <w:tab w:val="left" w:pos="660"/>
              <w:tab w:val="right" w:leader="dot" w:pos="8828"/>
            </w:tabs>
            <w:rPr>
              <w:rFonts w:eastAsiaTheme="minorEastAsia"/>
              <w:noProof/>
              <w:lang w:eastAsia="es-MX"/>
            </w:rPr>
          </w:pPr>
          <w:hyperlink w:anchor="_Toc522528218" w:history="1">
            <w:r w:rsidR="000A1D52" w:rsidRPr="00325298">
              <w:rPr>
                <w:rStyle w:val="Hipervnculo"/>
                <w:rFonts w:ascii="Palatino Linotype" w:hAnsi="Palatino Linotype" w:cs="Arial"/>
                <w:b/>
                <w:noProof/>
              </w:rPr>
              <w:t>i.</w:t>
            </w:r>
            <w:r w:rsidR="000A1D52">
              <w:rPr>
                <w:rFonts w:eastAsiaTheme="minorEastAsia"/>
                <w:noProof/>
                <w:lang w:eastAsia="es-MX"/>
              </w:rPr>
              <w:tab/>
            </w:r>
            <w:r w:rsidR="000A1D52" w:rsidRPr="00325298">
              <w:rPr>
                <w:rStyle w:val="Hipervnculo"/>
                <w:rFonts w:ascii="Palatino Linotype" w:hAnsi="Palatino Linotype" w:cs="Arial"/>
                <w:b/>
                <w:noProof/>
              </w:rPr>
              <w:t>Formalidades para emitir el acuerdo de clasificación.</w:t>
            </w:r>
            <w:r w:rsidR="000A1D52">
              <w:rPr>
                <w:noProof/>
                <w:webHidden/>
              </w:rPr>
              <w:tab/>
            </w:r>
            <w:r w:rsidR="000A1D52">
              <w:rPr>
                <w:noProof/>
                <w:webHidden/>
              </w:rPr>
              <w:fldChar w:fldCharType="begin"/>
            </w:r>
            <w:r w:rsidR="000A1D52">
              <w:rPr>
                <w:noProof/>
                <w:webHidden/>
              </w:rPr>
              <w:instrText xml:space="preserve"> PAGEREF _Toc522528218 \h </w:instrText>
            </w:r>
            <w:r w:rsidR="000A1D52">
              <w:rPr>
                <w:noProof/>
                <w:webHidden/>
              </w:rPr>
            </w:r>
            <w:r w:rsidR="000A1D52">
              <w:rPr>
                <w:noProof/>
                <w:webHidden/>
              </w:rPr>
              <w:fldChar w:fldCharType="separate"/>
            </w:r>
            <w:r w:rsidR="00D00EF1">
              <w:rPr>
                <w:noProof/>
                <w:webHidden/>
              </w:rPr>
              <w:t>16</w:t>
            </w:r>
            <w:r w:rsidR="000A1D52">
              <w:rPr>
                <w:noProof/>
                <w:webHidden/>
              </w:rPr>
              <w:fldChar w:fldCharType="end"/>
            </w:r>
          </w:hyperlink>
        </w:p>
        <w:p w:rsidR="000A1D52" w:rsidRDefault="009673CF">
          <w:pPr>
            <w:pStyle w:val="TDC2"/>
            <w:tabs>
              <w:tab w:val="left" w:pos="660"/>
              <w:tab w:val="right" w:leader="dot" w:pos="8828"/>
            </w:tabs>
            <w:rPr>
              <w:rFonts w:eastAsiaTheme="minorEastAsia"/>
              <w:noProof/>
              <w:lang w:eastAsia="es-MX"/>
            </w:rPr>
          </w:pPr>
          <w:hyperlink w:anchor="_Toc522528219" w:history="1">
            <w:r w:rsidR="000A1D52" w:rsidRPr="00325298">
              <w:rPr>
                <w:rStyle w:val="Hipervnculo"/>
                <w:rFonts w:ascii="Palatino Linotype" w:hAnsi="Palatino Linotype" w:cs="Arial"/>
                <w:b/>
                <w:noProof/>
              </w:rPr>
              <w:t>ii.</w:t>
            </w:r>
            <w:r w:rsidR="000A1D52">
              <w:rPr>
                <w:rFonts w:eastAsiaTheme="minorEastAsia"/>
                <w:noProof/>
                <w:lang w:eastAsia="es-MX"/>
              </w:rPr>
              <w:tab/>
            </w:r>
            <w:r w:rsidR="000A1D52" w:rsidRPr="00325298">
              <w:rPr>
                <w:rStyle w:val="Hipervnculo"/>
                <w:rFonts w:ascii="Palatino Linotype" w:hAnsi="Palatino Linotype" w:cs="Arial"/>
                <w:b/>
                <w:noProof/>
              </w:rPr>
              <w:t>Requisitos de fondo del acuerdo de clasificación</w:t>
            </w:r>
            <w:r w:rsidR="000A1D52">
              <w:rPr>
                <w:noProof/>
                <w:webHidden/>
              </w:rPr>
              <w:tab/>
            </w:r>
            <w:r w:rsidR="000A1D52">
              <w:rPr>
                <w:noProof/>
                <w:webHidden/>
              </w:rPr>
              <w:fldChar w:fldCharType="begin"/>
            </w:r>
            <w:r w:rsidR="000A1D52">
              <w:rPr>
                <w:noProof/>
                <w:webHidden/>
              </w:rPr>
              <w:instrText xml:space="preserve"> PAGEREF _Toc522528219 \h </w:instrText>
            </w:r>
            <w:r w:rsidR="000A1D52">
              <w:rPr>
                <w:noProof/>
                <w:webHidden/>
              </w:rPr>
            </w:r>
            <w:r w:rsidR="000A1D52">
              <w:rPr>
                <w:noProof/>
                <w:webHidden/>
              </w:rPr>
              <w:fldChar w:fldCharType="separate"/>
            </w:r>
            <w:r w:rsidR="00D00EF1">
              <w:rPr>
                <w:noProof/>
                <w:webHidden/>
              </w:rPr>
              <w:t>18</w:t>
            </w:r>
            <w:r w:rsidR="000A1D52">
              <w:rPr>
                <w:noProof/>
                <w:webHidden/>
              </w:rPr>
              <w:fldChar w:fldCharType="end"/>
            </w:r>
          </w:hyperlink>
        </w:p>
        <w:p w:rsidR="000A1D52" w:rsidRDefault="009673CF">
          <w:pPr>
            <w:pStyle w:val="TDC2"/>
            <w:tabs>
              <w:tab w:val="left" w:pos="880"/>
              <w:tab w:val="right" w:leader="dot" w:pos="8828"/>
            </w:tabs>
            <w:rPr>
              <w:rFonts w:eastAsiaTheme="minorEastAsia"/>
              <w:noProof/>
              <w:lang w:eastAsia="es-MX"/>
            </w:rPr>
          </w:pPr>
          <w:hyperlink w:anchor="_Toc522528220" w:history="1">
            <w:r w:rsidR="000A1D52" w:rsidRPr="00325298">
              <w:rPr>
                <w:rStyle w:val="Hipervnculo"/>
                <w:rFonts w:ascii="Palatino Linotype" w:hAnsi="Palatino Linotype" w:cs="Arial"/>
                <w:b/>
                <w:noProof/>
              </w:rPr>
              <w:t>iii.</w:t>
            </w:r>
            <w:r w:rsidR="000A1D52">
              <w:rPr>
                <w:rFonts w:eastAsiaTheme="minorEastAsia"/>
                <w:noProof/>
                <w:lang w:eastAsia="es-MX"/>
              </w:rPr>
              <w:tab/>
            </w:r>
            <w:r w:rsidR="000A1D52" w:rsidRPr="00325298">
              <w:rPr>
                <w:rStyle w:val="Hipervnculo"/>
                <w:rFonts w:ascii="Palatino Linotype" w:hAnsi="Palatino Linotype" w:cs="Arial"/>
                <w:b/>
                <w:noProof/>
              </w:rPr>
              <w:t>Condiciones especiales de la clasificación de la información como reservada</w:t>
            </w:r>
            <w:r w:rsidR="000A1D52">
              <w:rPr>
                <w:noProof/>
                <w:webHidden/>
              </w:rPr>
              <w:tab/>
            </w:r>
            <w:r w:rsidR="000A1D52">
              <w:rPr>
                <w:noProof/>
                <w:webHidden/>
              </w:rPr>
              <w:fldChar w:fldCharType="begin"/>
            </w:r>
            <w:r w:rsidR="000A1D52">
              <w:rPr>
                <w:noProof/>
                <w:webHidden/>
              </w:rPr>
              <w:instrText xml:space="preserve"> PAGEREF _Toc522528220 \h </w:instrText>
            </w:r>
            <w:r w:rsidR="000A1D52">
              <w:rPr>
                <w:noProof/>
                <w:webHidden/>
              </w:rPr>
            </w:r>
            <w:r w:rsidR="000A1D52">
              <w:rPr>
                <w:noProof/>
                <w:webHidden/>
              </w:rPr>
              <w:fldChar w:fldCharType="separate"/>
            </w:r>
            <w:r w:rsidR="00D00EF1">
              <w:rPr>
                <w:noProof/>
                <w:webHidden/>
              </w:rPr>
              <w:t>22</w:t>
            </w:r>
            <w:r w:rsidR="000A1D52">
              <w:rPr>
                <w:noProof/>
                <w:webHidden/>
              </w:rPr>
              <w:fldChar w:fldCharType="end"/>
            </w:r>
          </w:hyperlink>
        </w:p>
        <w:p w:rsidR="000A1D52" w:rsidRDefault="009673CF">
          <w:pPr>
            <w:pStyle w:val="TDC3"/>
            <w:tabs>
              <w:tab w:val="left" w:pos="880"/>
              <w:tab w:val="right" w:leader="dot" w:pos="8828"/>
            </w:tabs>
            <w:rPr>
              <w:rFonts w:eastAsiaTheme="minorEastAsia"/>
              <w:noProof/>
              <w:lang w:eastAsia="es-MX"/>
            </w:rPr>
          </w:pPr>
          <w:hyperlink w:anchor="_Toc522528221" w:history="1">
            <w:r w:rsidR="000A1D52" w:rsidRPr="00325298">
              <w:rPr>
                <w:rStyle w:val="Hipervnculo"/>
                <w:rFonts w:ascii="Palatino Linotype" w:hAnsi="Palatino Linotype" w:cs="Arial"/>
                <w:b/>
                <w:noProof/>
              </w:rPr>
              <w:t>1.</w:t>
            </w:r>
            <w:r w:rsidR="000A1D52">
              <w:rPr>
                <w:rFonts w:eastAsiaTheme="minorEastAsia"/>
                <w:noProof/>
                <w:lang w:eastAsia="es-MX"/>
              </w:rPr>
              <w:tab/>
            </w:r>
            <w:r w:rsidR="000A1D52" w:rsidRPr="00325298">
              <w:rPr>
                <w:rStyle w:val="Hipervnculo"/>
                <w:rFonts w:ascii="Palatino Linotype" w:hAnsi="Palatino Linotype" w:cs="Arial"/>
                <w:b/>
                <w:noProof/>
              </w:rPr>
              <w:t>La fundamentación específica</w:t>
            </w:r>
            <w:r w:rsidR="000A1D52">
              <w:rPr>
                <w:noProof/>
                <w:webHidden/>
              </w:rPr>
              <w:tab/>
            </w:r>
            <w:r w:rsidR="000A1D52">
              <w:rPr>
                <w:noProof/>
                <w:webHidden/>
              </w:rPr>
              <w:fldChar w:fldCharType="begin"/>
            </w:r>
            <w:r w:rsidR="000A1D52">
              <w:rPr>
                <w:noProof/>
                <w:webHidden/>
              </w:rPr>
              <w:instrText xml:space="preserve"> PAGEREF _Toc522528221 \h </w:instrText>
            </w:r>
            <w:r w:rsidR="000A1D52">
              <w:rPr>
                <w:noProof/>
                <w:webHidden/>
              </w:rPr>
            </w:r>
            <w:r w:rsidR="000A1D52">
              <w:rPr>
                <w:noProof/>
                <w:webHidden/>
              </w:rPr>
              <w:fldChar w:fldCharType="separate"/>
            </w:r>
            <w:r w:rsidR="00D00EF1">
              <w:rPr>
                <w:noProof/>
                <w:webHidden/>
              </w:rPr>
              <w:t>22</w:t>
            </w:r>
            <w:r w:rsidR="000A1D52">
              <w:rPr>
                <w:noProof/>
                <w:webHidden/>
              </w:rPr>
              <w:fldChar w:fldCharType="end"/>
            </w:r>
          </w:hyperlink>
        </w:p>
        <w:p w:rsidR="000A1D52" w:rsidRDefault="009673CF">
          <w:pPr>
            <w:pStyle w:val="TDC3"/>
            <w:tabs>
              <w:tab w:val="left" w:pos="880"/>
              <w:tab w:val="right" w:leader="dot" w:pos="8828"/>
            </w:tabs>
            <w:rPr>
              <w:rFonts w:eastAsiaTheme="minorEastAsia"/>
              <w:noProof/>
              <w:lang w:eastAsia="es-MX"/>
            </w:rPr>
          </w:pPr>
          <w:hyperlink w:anchor="_Toc522528222" w:history="1">
            <w:r w:rsidR="000A1D52" w:rsidRPr="00325298">
              <w:rPr>
                <w:rStyle w:val="Hipervnculo"/>
                <w:rFonts w:ascii="Palatino Linotype" w:hAnsi="Palatino Linotype" w:cs="Arial"/>
                <w:b/>
                <w:noProof/>
              </w:rPr>
              <w:t>2.</w:t>
            </w:r>
            <w:r w:rsidR="000A1D52">
              <w:rPr>
                <w:rFonts w:eastAsiaTheme="minorEastAsia"/>
                <w:noProof/>
                <w:lang w:eastAsia="es-MX"/>
              </w:rPr>
              <w:tab/>
            </w:r>
            <w:r w:rsidR="000A1D52" w:rsidRPr="00325298">
              <w:rPr>
                <w:rStyle w:val="Hipervnculo"/>
                <w:rFonts w:ascii="Palatino Linotype" w:hAnsi="Palatino Linotype" w:cs="Arial"/>
                <w:b/>
                <w:noProof/>
              </w:rPr>
              <w:t>La prueba de daño</w:t>
            </w:r>
            <w:r w:rsidR="000A1D52">
              <w:rPr>
                <w:noProof/>
                <w:webHidden/>
              </w:rPr>
              <w:tab/>
            </w:r>
            <w:r w:rsidR="000A1D52">
              <w:rPr>
                <w:noProof/>
                <w:webHidden/>
              </w:rPr>
              <w:fldChar w:fldCharType="begin"/>
            </w:r>
            <w:r w:rsidR="000A1D52">
              <w:rPr>
                <w:noProof/>
                <w:webHidden/>
              </w:rPr>
              <w:instrText xml:space="preserve"> PAGEREF _Toc522528222 \h </w:instrText>
            </w:r>
            <w:r w:rsidR="000A1D52">
              <w:rPr>
                <w:noProof/>
                <w:webHidden/>
              </w:rPr>
            </w:r>
            <w:r w:rsidR="000A1D52">
              <w:rPr>
                <w:noProof/>
                <w:webHidden/>
              </w:rPr>
              <w:fldChar w:fldCharType="separate"/>
            </w:r>
            <w:r w:rsidR="00D00EF1">
              <w:rPr>
                <w:noProof/>
                <w:webHidden/>
              </w:rPr>
              <w:t>23</w:t>
            </w:r>
            <w:r w:rsidR="000A1D52">
              <w:rPr>
                <w:noProof/>
                <w:webHidden/>
              </w:rPr>
              <w:fldChar w:fldCharType="end"/>
            </w:r>
          </w:hyperlink>
        </w:p>
        <w:p w:rsidR="000A1D52" w:rsidRDefault="009673CF">
          <w:pPr>
            <w:pStyle w:val="TDC1"/>
            <w:rPr>
              <w:rFonts w:eastAsiaTheme="minorEastAsia"/>
              <w:noProof/>
              <w:lang w:eastAsia="es-MX"/>
            </w:rPr>
          </w:pPr>
          <w:hyperlink w:anchor="_Toc522528223" w:history="1">
            <w:r w:rsidR="000A1D52" w:rsidRPr="00325298">
              <w:rPr>
                <w:rStyle w:val="Hipervnculo"/>
                <w:rFonts w:ascii="Palatino Linotype" w:hAnsi="Palatino Linotype" w:cs="Arial"/>
                <w:b/>
                <w:noProof/>
              </w:rPr>
              <w:t>e.</w:t>
            </w:r>
            <w:r w:rsidR="000A1D52">
              <w:rPr>
                <w:rFonts w:eastAsiaTheme="minorEastAsia"/>
                <w:noProof/>
                <w:lang w:eastAsia="es-MX"/>
              </w:rPr>
              <w:tab/>
            </w:r>
            <w:r w:rsidR="000A1D52" w:rsidRPr="00325298">
              <w:rPr>
                <w:rStyle w:val="Hipervnculo"/>
                <w:rFonts w:ascii="Palatino Linotype" w:hAnsi="Palatino Linotype" w:cs="Arial"/>
                <w:b/>
                <w:noProof/>
              </w:rPr>
              <w:t>La clasificación de la información reservada debe ser de manera temporal.</w:t>
            </w:r>
            <w:r w:rsidR="000A1D52">
              <w:rPr>
                <w:noProof/>
                <w:webHidden/>
              </w:rPr>
              <w:tab/>
            </w:r>
            <w:r w:rsidR="000A1D52">
              <w:rPr>
                <w:noProof/>
                <w:webHidden/>
              </w:rPr>
              <w:fldChar w:fldCharType="begin"/>
            </w:r>
            <w:r w:rsidR="000A1D52">
              <w:rPr>
                <w:noProof/>
                <w:webHidden/>
              </w:rPr>
              <w:instrText xml:space="preserve"> PAGEREF _Toc522528223 \h </w:instrText>
            </w:r>
            <w:r w:rsidR="000A1D52">
              <w:rPr>
                <w:noProof/>
                <w:webHidden/>
              </w:rPr>
            </w:r>
            <w:r w:rsidR="000A1D52">
              <w:rPr>
                <w:noProof/>
                <w:webHidden/>
              </w:rPr>
              <w:fldChar w:fldCharType="separate"/>
            </w:r>
            <w:r w:rsidR="00D00EF1">
              <w:rPr>
                <w:noProof/>
                <w:webHidden/>
              </w:rPr>
              <w:t>26</w:t>
            </w:r>
            <w:r w:rsidR="000A1D52">
              <w:rPr>
                <w:noProof/>
                <w:webHidden/>
              </w:rPr>
              <w:fldChar w:fldCharType="end"/>
            </w:r>
          </w:hyperlink>
        </w:p>
        <w:p w:rsidR="000A1D52" w:rsidRDefault="009673CF">
          <w:pPr>
            <w:pStyle w:val="TDC1"/>
            <w:rPr>
              <w:rFonts w:eastAsiaTheme="minorEastAsia"/>
              <w:noProof/>
              <w:lang w:eastAsia="es-MX"/>
            </w:rPr>
          </w:pPr>
          <w:hyperlink w:anchor="_Toc522528224" w:history="1">
            <w:r w:rsidR="000A1D52" w:rsidRPr="00325298">
              <w:rPr>
                <w:rStyle w:val="Hipervnculo"/>
                <w:rFonts w:ascii="Palatino Linotype" w:hAnsi="Palatino Linotype" w:cs="Arial"/>
                <w:b/>
                <w:noProof/>
              </w:rPr>
              <w:t>f.</w:t>
            </w:r>
            <w:r w:rsidR="000A1D52">
              <w:rPr>
                <w:rFonts w:eastAsiaTheme="minorEastAsia"/>
                <w:noProof/>
                <w:lang w:eastAsia="es-MX"/>
              </w:rPr>
              <w:tab/>
            </w:r>
            <w:r w:rsidR="000A1D52" w:rsidRPr="00325298">
              <w:rPr>
                <w:rStyle w:val="Hipervnculo"/>
                <w:rFonts w:ascii="Palatino Linotype" w:hAnsi="Palatino Linotype" w:cs="Arial"/>
                <w:b/>
                <w:noProof/>
              </w:rPr>
              <w:t>Condiciones especiales de la clasificación de la información como confidencial</w:t>
            </w:r>
            <w:r w:rsidR="000A1D52">
              <w:rPr>
                <w:noProof/>
                <w:webHidden/>
              </w:rPr>
              <w:tab/>
            </w:r>
            <w:r w:rsidR="000A1D52">
              <w:rPr>
                <w:noProof/>
                <w:webHidden/>
              </w:rPr>
              <w:fldChar w:fldCharType="begin"/>
            </w:r>
            <w:r w:rsidR="000A1D52">
              <w:rPr>
                <w:noProof/>
                <w:webHidden/>
              </w:rPr>
              <w:instrText xml:space="preserve"> PAGEREF _Toc522528224 \h </w:instrText>
            </w:r>
            <w:r w:rsidR="000A1D52">
              <w:rPr>
                <w:noProof/>
                <w:webHidden/>
              </w:rPr>
            </w:r>
            <w:r w:rsidR="000A1D52">
              <w:rPr>
                <w:noProof/>
                <w:webHidden/>
              </w:rPr>
              <w:fldChar w:fldCharType="separate"/>
            </w:r>
            <w:r w:rsidR="00D00EF1">
              <w:rPr>
                <w:noProof/>
                <w:webHidden/>
              </w:rPr>
              <w:t>27</w:t>
            </w:r>
            <w:r w:rsidR="000A1D52">
              <w:rPr>
                <w:noProof/>
                <w:webHidden/>
              </w:rPr>
              <w:fldChar w:fldCharType="end"/>
            </w:r>
          </w:hyperlink>
        </w:p>
        <w:p w:rsidR="000A1D52" w:rsidRDefault="009673CF">
          <w:pPr>
            <w:pStyle w:val="TDC1"/>
            <w:rPr>
              <w:rFonts w:eastAsiaTheme="minorEastAsia"/>
              <w:noProof/>
              <w:lang w:eastAsia="es-MX"/>
            </w:rPr>
          </w:pPr>
          <w:hyperlink w:anchor="_Toc522528225" w:history="1">
            <w:r w:rsidR="000A1D52" w:rsidRPr="00325298">
              <w:rPr>
                <w:rStyle w:val="Hipervnculo"/>
                <w:rFonts w:ascii="Palatino Linotype" w:hAnsi="Palatino Linotype" w:cs="Arial"/>
                <w:b/>
                <w:noProof/>
              </w:rPr>
              <w:t>IV.</w:t>
            </w:r>
            <w:r w:rsidR="000A1D52">
              <w:rPr>
                <w:rFonts w:eastAsiaTheme="minorEastAsia"/>
                <w:noProof/>
                <w:lang w:eastAsia="es-MX"/>
              </w:rPr>
              <w:tab/>
            </w:r>
            <w:r w:rsidR="000A1D52" w:rsidRPr="00325298">
              <w:rPr>
                <w:rStyle w:val="Hipervnculo"/>
                <w:rFonts w:ascii="Palatino Linotype" w:hAnsi="Palatino Linotype"/>
                <w:b/>
                <w:noProof/>
              </w:rPr>
              <w:t>Conclusiones</w:t>
            </w:r>
            <w:r w:rsidR="000A1D52" w:rsidRPr="00325298">
              <w:rPr>
                <w:rStyle w:val="Hipervnculo"/>
                <w:rFonts w:ascii="Palatino Linotype" w:hAnsi="Palatino Linotype" w:cs="Arial"/>
                <w:b/>
                <w:noProof/>
              </w:rPr>
              <w:t>.</w:t>
            </w:r>
            <w:r w:rsidR="000A1D52">
              <w:rPr>
                <w:noProof/>
                <w:webHidden/>
              </w:rPr>
              <w:tab/>
            </w:r>
            <w:r w:rsidR="000A1D52">
              <w:rPr>
                <w:noProof/>
                <w:webHidden/>
              </w:rPr>
              <w:fldChar w:fldCharType="begin"/>
            </w:r>
            <w:r w:rsidR="000A1D52">
              <w:rPr>
                <w:noProof/>
                <w:webHidden/>
              </w:rPr>
              <w:instrText xml:space="preserve"> PAGEREF _Toc522528225 \h </w:instrText>
            </w:r>
            <w:r w:rsidR="000A1D52">
              <w:rPr>
                <w:noProof/>
                <w:webHidden/>
              </w:rPr>
            </w:r>
            <w:r w:rsidR="000A1D52">
              <w:rPr>
                <w:noProof/>
                <w:webHidden/>
              </w:rPr>
              <w:fldChar w:fldCharType="separate"/>
            </w:r>
            <w:r w:rsidR="00D00EF1">
              <w:rPr>
                <w:noProof/>
                <w:webHidden/>
              </w:rPr>
              <w:t>32</w:t>
            </w:r>
            <w:r w:rsidR="000A1D52">
              <w:rPr>
                <w:noProof/>
                <w:webHidden/>
              </w:rPr>
              <w:fldChar w:fldCharType="end"/>
            </w:r>
          </w:hyperlink>
        </w:p>
        <w:p w:rsidR="00072966" w:rsidRPr="00BE6935" w:rsidRDefault="0046491C" w:rsidP="003C7244">
          <w:pPr>
            <w:spacing w:line="360" w:lineRule="auto"/>
            <w:rPr>
              <w:rFonts w:ascii="Palatino Linotype" w:hAnsi="Palatino Linotype"/>
            </w:rPr>
          </w:pPr>
          <w:r w:rsidRPr="00BE6935">
            <w:rPr>
              <w:rFonts w:ascii="Palatino Linotype" w:hAnsi="Palatino Linotype"/>
              <w:b/>
              <w:bCs/>
              <w:lang w:val="es-ES"/>
            </w:rPr>
            <w:fldChar w:fldCharType="end"/>
          </w:r>
        </w:p>
      </w:sdtContent>
    </w:sdt>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0" w:name="_Toc522528211"/>
      <w:r w:rsidRPr="00BE6935">
        <w:rPr>
          <w:rFonts w:ascii="Palatino Linotype" w:hAnsi="Palatino Linotype"/>
          <w:b/>
          <w:color w:val="auto"/>
          <w:sz w:val="24"/>
          <w:szCs w:val="24"/>
        </w:rPr>
        <w:lastRenderedPageBreak/>
        <w:t>Consideraciones Generales.</w:t>
      </w:r>
      <w:bookmarkEnd w:id="0"/>
    </w:p>
    <w:p w:rsidR="0046491C" w:rsidRPr="00BE6935" w:rsidRDefault="0046491C" w:rsidP="00CC3138">
      <w:pPr>
        <w:pStyle w:val="Prrafodelista"/>
        <w:spacing w:after="0" w:line="240" w:lineRule="auto"/>
        <w:ind w:left="1080"/>
        <w:jc w:val="both"/>
        <w:rPr>
          <w:rFonts w:ascii="Palatino Linotype" w:hAnsi="Palatino Linotype" w:cs="Arial"/>
          <w:b/>
          <w:sz w:val="24"/>
          <w:szCs w:val="24"/>
        </w:rPr>
      </w:pPr>
    </w:p>
    <w:p w:rsidR="0046491C" w:rsidRPr="00BE6935" w:rsidRDefault="0046491C" w:rsidP="00C25CC1">
      <w:pPr>
        <w:pStyle w:val="Prrafodelista"/>
        <w:numPr>
          <w:ilvl w:val="0"/>
          <w:numId w:val="1"/>
        </w:numPr>
        <w:spacing w:after="0" w:line="360" w:lineRule="auto"/>
        <w:jc w:val="both"/>
        <w:rPr>
          <w:rFonts w:ascii="Palatino Linotype" w:hAnsi="Palatino Linotype" w:cs="Arial"/>
          <w:sz w:val="24"/>
          <w:szCs w:val="24"/>
        </w:rPr>
      </w:pPr>
      <w:r w:rsidRPr="00BE6935">
        <w:rPr>
          <w:rFonts w:ascii="Palatino Linotype" w:eastAsia="Times New Roman" w:hAnsi="Palatino Linotype" w:cs="Arial"/>
          <w:sz w:val="24"/>
          <w:szCs w:val="24"/>
          <w:lang w:val="es-ES_tradnl"/>
        </w:rPr>
        <w:t xml:space="preserve">He concurrido con mi </w:t>
      </w:r>
      <w:r w:rsidR="00D33AF9" w:rsidRPr="00BE6935">
        <w:rPr>
          <w:rFonts w:ascii="Palatino Linotype" w:eastAsia="Times New Roman" w:hAnsi="Palatino Linotype" w:cs="Arial"/>
          <w:sz w:val="24"/>
          <w:szCs w:val="24"/>
          <w:lang w:val="es-ES_tradnl"/>
        </w:rPr>
        <w:t>voto</w:t>
      </w:r>
      <w:r w:rsidRPr="00BE6935">
        <w:rPr>
          <w:rFonts w:ascii="Palatino Linotype" w:eastAsia="Times New Roman" w:hAnsi="Palatino Linotype" w:cs="Arial"/>
          <w:sz w:val="24"/>
          <w:szCs w:val="24"/>
          <w:lang w:val="es-ES_tradnl"/>
        </w:rPr>
        <w:t xml:space="preserve"> particular de la presente resolución emitida </w:t>
      </w:r>
      <w:r w:rsidRPr="00BE6935">
        <w:rPr>
          <w:rFonts w:ascii="Palatino Linotype" w:hAnsi="Palatino Linotype" w:cs="Arial"/>
          <w:sz w:val="24"/>
          <w:szCs w:val="24"/>
        </w:rPr>
        <w:t>por el Pleno del Instituto de Transparencia, Acceso a la Información Pública y Protección de Datos Personales del Estado de Méxi</w:t>
      </w:r>
      <w:r w:rsidR="002C1F75" w:rsidRPr="00BE6935">
        <w:rPr>
          <w:rFonts w:ascii="Palatino Linotype" w:hAnsi="Palatino Linotype" w:cs="Arial"/>
          <w:sz w:val="24"/>
          <w:szCs w:val="24"/>
        </w:rPr>
        <w:t xml:space="preserve">co y Municipios, en su </w:t>
      </w:r>
      <w:r w:rsidR="00BA3743" w:rsidRPr="00BE6935">
        <w:rPr>
          <w:rFonts w:ascii="Palatino Linotype" w:hAnsi="Palatino Linotype" w:cs="Arial"/>
          <w:sz w:val="24"/>
          <w:szCs w:val="24"/>
        </w:rPr>
        <w:t xml:space="preserve">Vigésimo </w:t>
      </w:r>
      <w:r w:rsidR="0005315C">
        <w:rPr>
          <w:rFonts w:ascii="Palatino Linotype" w:hAnsi="Palatino Linotype" w:cs="Arial"/>
          <w:sz w:val="24"/>
          <w:szCs w:val="24"/>
        </w:rPr>
        <w:t>Novena</w:t>
      </w:r>
      <w:r w:rsidR="00BA3743" w:rsidRPr="00BE6935">
        <w:rPr>
          <w:rFonts w:ascii="Palatino Linotype" w:hAnsi="Palatino Linotype" w:cs="Arial"/>
          <w:sz w:val="24"/>
          <w:szCs w:val="24"/>
        </w:rPr>
        <w:t xml:space="preserve"> </w:t>
      </w:r>
      <w:r w:rsidRPr="00BE6935">
        <w:rPr>
          <w:rFonts w:ascii="Palatino Linotype" w:hAnsi="Palatino Linotype" w:cs="Arial"/>
          <w:sz w:val="24"/>
          <w:szCs w:val="24"/>
        </w:rPr>
        <w:t xml:space="preserve">sesión ordinaria </w:t>
      </w:r>
      <w:r w:rsidR="00C7250F" w:rsidRPr="00BE6935">
        <w:rPr>
          <w:rFonts w:ascii="Palatino Linotype" w:hAnsi="Palatino Linotype" w:cs="Arial"/>
          <w:sz w:val="24"/>
          <w:szCs w:val="24"/>
        </w:rPr>
        <w:t xml:space="preserve">de fecha </w:t>
      </w:r>
      <w:r w:rsidR="0005315C">
        <w:rPr>
          <w:rFonts w:ascii="Palatino Linotype" w:hAnsi="Palatino Linotype" w:cs="Arial"/>
          <w:sz w:val="24"/>
          <w:szCs w:val="24"/>
        </w:rPr>
        <w:t>quince (15)</w:t>
      </w:r>
      <w:r w:rsidR="00CD1545" w:rsidRPr="00BE6935">
        <w:rPr>
          <w:rFonts w:ascii="Palatino Linotype" w:hAnsi="Palatino Linotype" w:cs="Arial"/>
          <w:sz w:val="24"/>
          <w:szCs w:val="24"/>
        </w:rPr>
        <w:t xml:space="preserve"> de agosto </w:t>
      </w:r>
      <w:r w:rsidR="0076241F" w:rsidRPr="00BE6935">
        <w:rPr>
          <w:rFonts w:ascii="Palatino Linotype" w:hAnsi="Palatino Linotype" w:cs="Arial"/>
          <w:sz w:val="24"/>
          <w:szCs w:val="24"/>
        </w:rPr>
        <w:t>de dos mil dieciocho</w:t>
      </w:r>
      <w:r w:rsidRPr="00BE6935">
        <w:rPr>
          <w:rFonts w:ascii="Palatino Linotype" w:hAnsi="Palatino Linotype" w:cs="Arial"/>
          <w:sz w:val="24"/>
          <w:szCs w:val="24"/>
        </w:rPr>
        <w:t>, en el recurso</w:t>
      </w:r>
      <w:r w:rsidR="002C1F75" w:rsidRPr="00BE6935">
        <w:rPr>
          <w:rFonts w:ascii="Palatino Linotype" w:hAnsi="Palatino Linotype" w:cs="Arial"/>
          <w:sz w:val="24"/>
          <w:szCs w:val="24"/>
        </w:rPr>
        <w:t xml:space="preserve"> de revisión promovido</w:t>
      </w:r>
      <w:r w:rsidRPr="00BE6935">
        <w:rPr>
          <w:rFonts w:ascii="Palatino Linotype" w:hAnsi="Palatino Linotype" w:cs="Arial"/>
          <w:sz w:val="24"/>
          <w:szCs w:val="24"/>
        </w:rPr>
        <w:t xml:space="preserve"> por</w:t>
      </w:r>
      <w:r w:rsidRPr="00BE6935">
        <w:rPr>
          <w:rFonts w:ascii="Palatino Linotype" w:hAnsi="Palatino Linotype" w:cs="Arial"/>
          <w:b/>
          <w:sz w:val="24"/>
          <w:szCs w:val="24"/>
        </w:rPr>
        <w:t xml:space="preserve"> </w:t>
      </w:r>
      <w:r w:rsidR="00E15C84">
        <w:rPr>
          <w:rFonts w:ascii="Palatino Linotype" w:hAnsi="Palatino Linotype" w:cs="Arial"/>
          <w:b/>
          <w:sz w:val="24"/>
          <w:szCs w:val="24"/>
        </w:rPr>
        <w:t>xxxxxx</w:t>
      </w:r>
      <w:r w:rsidRPr="00BE6935">
        <w:rPr>
          <w:rFonts w:ascii="Palatino Linotype" w:hAnsi="Palatino Linotype" w:cs="Arial"/>
          <w:sz w:val="24"/>
          <w:szCs w:val="24"/>
        </w:rPr>
        <w:t>,</w:t>
      </w:r>
      <w:r w:rsidRPr="00BE6935">
        <w:rPr>
          <w:rFonts w:ascii="Palatino Linotype" w:hAnsi="Palatino Linotype" w:cs="Arial"/>
          <w:b/>
          <w:sz w:val="24"/>
          <w:szCs w:val="24"/>
        </w:rPr>
        <w:t xml:space="preserve"> </w:t>
      </w:r>
      <w:r w:rsidRPr="00BE6935">
        <w:rPr>
          <w:rFonts w:ascii="Palatino Linotype" w:hAnsi="Palatino Linotype" w:cs="Arial"/>
          <w:sz w:val="24"/>
          <w:szCs w:val="24"/>
        </w:rPr>
        <w:t>en contra de la</w:t>
      </w:r>
      <w:r w:rsidR="00C25CC1" w:rsidRPr="00BE6935">
        <w:rPr>
          <w:rFonts w:ascii="Palatino Linotype" w:hAnsi="Palatino Linotype" w:cs="Arial"/>
          <w:sz w:val="24"/>
          <w:szCs w:val="24"/>
        </w:rPr>
        <w:t xml:space="preserve"> falta de</w:t>
      </w:r>
      <w:r w:rsidRPr="00BE6935">
        <w:rPr>
          <w:rFonts w:ascii="Palatino Linotype" w:hAnsi="Palatino Linotype" w:cs="Arial"/>
          <w:sz w:val="24"/>
          <w:szCs w:val="24"/>
        </w:rPr>
        <w:t xml:space="preserve"> respuesta del </w:t>
      </w:r>
      <w:r w:rsidR="00C25CC1" w:rsidRPr="00BE6935">
        <w:rPr>
          <w:rFonts w:ascii="Palatino Linotype" w:eastAsia="Calibri" w:hAnsi="Palatino Linotype" w:cs="Times New Roman"/>
          <w:b/>
          <w:sz w:val="24"/>
          <w:szCs w:val="24"/>
          <w:lang w:eastAsia="es-ES"/>
        </w:rPr>
        <w:t>Ayuntamiento de Valle de Chalco Solidaridad</w:t>
      </w:r>
      <w:r w:rsidR="00D7456D" w:rsidRPr="00BE6935">
        <w:rPr>
          <w:rFonts w:ascii="Palatino Linotype" w:eastAsia="Calibri" w:hAnsi="Palatino Linotype" w:cs="Times New Roman"/>
          <w:b/>
          <w:sz w:val="24"/>
          <w:szCs w:val="24"/>
          <w:lang w:eastAsia="es-ES"/>
        </w:rPr>
        <w:t xml:space="preserve"> </w:t>
      </w:r>
      <w:r w:rsidRPr="00BE6935">
        <w:rPr>
          <w:rFonts w:ascii="Palatino Linotype" w:hAnsi="Palatino Linotype" w:cs="Arial"/>
          <w:sz w:val="24"/>
          <w:szCs w:val="24"/>
        </w:rPr>
        <w:t>procedimiento a</w:t>
      </w:r>
      <w:r w:rsidR="0000525F" w:rsidRPr="00BE6935">
        <w:rPr>
          <w:rFonts w:ascii="Palatino Linotype" w:hAnsi="Palatino Linotype" w:cs="Arial"/>
          <w:sz w:val="24"/>
          <w:szCs w:val="24"/>
        </w:rPr>
        <w:t>l</w:t>
      </w:r>
      <w:r w:rsidR="00902248" w:rsidRPr="00BE6935">
        <w:rPr>
          <w:rFonts w:ascii="Palatino Linotype" w:hAnsi="Palatino Linotype" w:cs="Arial"/>
          <w:sz w:val="24"/>
          <w:szCs w:val="24"/>
        </w:rPr>
        <w:t xml:space="preserve"> que se le asignó </w:t>
      </w:r>
      <w:r w:rsidR="0000525F" w:rsidRPr="00BE6935">
        <w:rPr>
          <w:rFonts w:ascii="Palatino Linotype" w:hAnsi="Palatino Linotype" w:cs="Arial"/>
          <w:sz w:val="24"/>
          <w:szCs w:val="24"/>
        </w:rPr>
        <w:t>el</w:t>
      </w:r>
      <w:r w:rsidRPr="00BE6935">
        <w:rPr>
          <w:rFonts w:ascii="Palatino Linotype" w:hAnsi="Palatino Linotype" w:cs="Arial"/>
          <w:sz w:val="24"/>
          <w:szCs w:val="24"/>
        </w:rPr>
        <w:t xml:space="preserve"> número de expediente </w:t>
      </w:r>
      <w:r w:rsidR="0076241F" w:rsidRPr="00BE6935">
        <w:rPr>
          <w:rFonts w:ascii="Palatino Linotype" w:eastAsia="Times New Roman" w:hAnsi="Palatino Linotype" w:cs="Arial"/>
          <w:b/>
          <w:bCs/>
          <w:sz w:val="24"/>
          <w:szCs w:val="24"/>
          <w:lang w:eastAsia="es-ES"/>
        </w:rPr>
        <w:t>0</w:t>
      </w:r>
      <w:r w:rsidR="00C25CC1" w:rsidRPr="00BE6935">
        <w:rPr>
          <w:rFonts w:ascii="Palatino Linotype" w:eastAsia="Times New Roman" w:hAnsi="Palatino Linotype" w:cs="Arial"/>
          <w:b/>
          <w:bCs/>
          <w:sz w:val="24"/>
          <w:szCs w:val="24"/>
          <w:lang w:eastAsia="es-ES"/>
        </w:rPr>
        <w:t>2060</w:t>
      </w:r>
      <w:r w:rsidR="00C7250F" w:rsidRPr="00BE6935">
        <w:rPr>
          <w:rFonts w:ascii="Palatino Linotype" w:eastAsia="Times New Roman" w:hAnsi="Palatino Linotype" w:cs="Arial"/>
          <w:b/>
          <w:bCs/>
          <w:sz w:val="24"/>
          <w:szCs w:val="24"/>
          <w:lang w:eastAsia="es-ES"/>
        </w:rPr>
        <w:t>/INFOEM/IP/RR/2018</w:t>
      </w:r>
      <w:r w:rsidR="00C25CC1" w:rsidRPr="00BE6935">
        <w:rPr>
          <w:rFonts w:ascii="Palatino Linotype" w:eastAsia="Times New Roman" w:hAnsi="Palatino Linotype" w:cs="Arial"/>
          <w:b/>
          <w:bCs/>
          <w:sz w:val="24"/>
          <w:szCs w:val="24"/>
          <w:lang w:eastAsia="es-ES"/>
        </w:rPr>
        <w:t xml:space="preserve"> y acumulados</w:t>
      </w:r>
      <w:r w:rsidR="0000525F" w:rsidRPr="00BE6935">
        <w:rPr>
          <w:rFonts w:ascii="Palatino Linotype" w:eastAsia="Times New Roman" w:hAnsi="Palatino Linotype" w:cs="Arial"/>
          <w:b/>
          <w:bCs/>
          <w:sz w:val="24"/>
          <w:szCs w:val="24"/>
          <w:lang w:eastAsia="es-ES"/>
        </w:rPr>
        <w:t>.</w:t>
      </w:r>
    </w:p>
    <w:p w:rsidR="0000525F" w:rsidRPr="00BE6935" w:rsidRDefault="0000525F" w:rsidP="001B44E8">
      <w:pPr>
        <w:pStyle w:val="Prrafodelista"/>
        <w:spacing w:after="0" w:line="240" w:lineRule="auto"/>
        <w:ind w:left="426"/>
        <w:jc w:val="both"/>
        <w:rPr>
          <w:rFonts w:ascii="Palatino Linotype" w:hAnsi="Palatino Linotype" w:cs="Arial"/>
          <w:sz w:val="24"/>
          <w:szCs w:val="24"/>
        </w:rPr>
      </w:pPr>
    </w:p>
    <w:p w:rsidR="007A378A" w:rsidRPr="00BE6935" w:rsidRDefault="00C7250F" w:rsidP="007A378A">
      <w:pPr>
        <w:pStyle w:val="Prrafodelista"/>
        <w:numPr>
          <w:ilvl w:val="0"/>
          <w:numId w:val="1"/>
        </w:numPr>
        <w:spacing w:before="240" w:after="0" w:line="360" w:lineRule="auto"/>
        <w:ind w:right="49"/>
        <w:jc w:val="both"/>
        <w:rPr>
          <w:rFonts w:ascii="Palatino Linotype" w:hAnsi="Palatino Linotype" w:cs="Arial"/>
        </w:rPr>
      </w:pPr>
      <w:r w:rsidRPr="00BE6935">
        <w:rPr>
          <w:rFonts w:ascii="Palatino Linotype" w:hAnsi="Palatino Linotype" w:cs="Arial"/>
          <w:sz w:val="24"/>
          <w:szCs w:val="24"/>
        </w:rPr>
        <w:t>El sentido de la Resolución puntualmente determina</w:t>
      </w:r>
      <w:r w:rsidR="00113B05" w:rsidRPr="00BE6935">
        <w:rPr>
          <w:rFonts w:ascii="Palatino Linotype" w:hAnsi="Palatino Linotype" w:cs="Arial"/>
          <w:sz w:val="24"/>
          <w:szCs w:val="24"/>
        </w:rPr>
        <w:t xml:space="preserve">r </w:t>
      </w:r>
      <w:r w:rsidRPr="00BE6935">
        <w:rPr>
          <w:rFonts w:ascii="Palatino Linotype" w:hAnsi="Palatino Linotype" w:cs="Arial"/>
          <w:sz w:val="24"/>
          <w:szCs w:val="24"/>
        </w:rPr>
        <w:t xml:space="preserve"> </w:t>
      </w:r>
      <w:r w:rsidR="00113B05" w:rsidRPr="00BE6935">
        <w:rPr>
          <w:rFonts w:ascii="Palatino Linotype" w:hAnsi="Palatino Linotype" w:cs="Arial"/>
          <w:sz w:val="24"/>
          <w:szCs w:val="24"/>
          <w:u w:val="single"/>
        </w:rPr>
        <w:t>ordenar</w:t>
      </w:r>
      <w:r w:rsidR="00113B05" w:rsidRPr="00BE6935">
        <w:rPr>
          <w:rFonts w:ascii="Palatino Linotype" w:hAnsi="Palatino Linotype" w:cs="Arial"/>
          <w:sz w:val="24"/>
          <w:szCs w:val="24"/>
        </w:rPr>
        <w:t xml:space="preserve"> al Sujeto Obligado</w:t>
      </w:r>
      <w:r w:rsidR="00DD7C56" w:rsidRPr="00BE6935">
        <w:rPr>
          <w:rFonts w:ascii="Palatino Linotype" w:hAnsi="Palatino Linotype" w:cs="Arial"/>
          <w:sz w:val="24"/>
          <w:szCs w:val="24"/>
        </w:rPr>
        <w:t xml:space="preserve"> </w:t>
      </w:r>
      <w:r w:rsidR="007A378A" w:rsidRPr="00BE6935">
        <w:rPr>
          <w:rFonts w:ascii="Palatino Linotype" w:hAnsi="Palatino Linotype" w:cs="Arial"/>
        </w:rPr>
        <w:t>lo siguiente:</w:t>
      </w:r>
      <w:bookmarkStart w:id="1" w:name="_GoBack"/>
      <w:bookmarkEnd w:id="1"/>
    </w:p>
    <w:p w:rsidR="0044515E" w:rsidRPr="0044515E" w:rsidRDefault="0044515E" w:rsidP="0044515E">
      <w:pPr>
        <w:pStyle w:val="Prrafodelista"/>
        <w:numPr>
          <w:ilvl w:val="0"/>
          <w:numId w:val="40"/>
        </w:numPr>
        <w:spacing w:before="240" w:after="0" w:line="360" w:lineRule="auto"/>
        <w:ind w:right="567"/>
        <w:jc w:val="both"/>
        <w:rPr>
          <w:rFonts w:ascii="Palatino Linotype" w:hAnsi="Palatino Linotype" w:cs="Arial"/>
          <w:i/>
          <w:lang w:val="es-ES_tradnl"/>
        </w:rPr>
      </w:pPr>
      <w:r w:rsidRPr="0044515E">
        <w:rPr>
          <w:rFonts w:ascii="Palatino Linotype" w:hAnsi="Palatino Linotype" w:cs="Arial"/>
          <w:i/>
          <w:lang w:val="es-ES_tradnl"/>
        </w:rPr>
        <w:t>Los convenios celebrados entre el H. Ayuntamiento de Valle de Chalco Solidaridad y los ex servidores públicos para finiquitar la relación laboral con el H. Ayuntamiento de los años dos mil dieciséis y dos mil diecisiete.</w:t>
      </w:r>
    </w:p>
    <w:p w:rsidR="0044515E" w:rsidRPr="0044515E" w:rsidRDefault="0044515E" w:rsidP="0044515E">
      <w:pPr>
        <w:pStyle w:val="Prrafodelista"/>
        <w:numPr>
          <w:ilvl w:val="0"/>
          <w:numId w:val="40"/>
        </w:numPr>
        <w:spacing w:before="240" w:after="0" w:line="360" w:lineRule="auto"/>
        <w:ind w:right="567"/>
        <w:jc w:val="both"/>
        <w:rPr>
          <w:rFonts w:ascii="Palatino Linotype" w:hAnsi="Palatino Linotype" w:cs="Arial"/>
          <w:i/>
          <w:lang w:val="es-ES_tradnl"/>
        </w:rPr>
      </w:pPr>
      <w:r w:rsidRPr="0044515E">
        <w:rPr>
          <w:rFonts w:ascii="Palatino Linotype" w:hAnsi="Palatino Linotype" w:cs="Arial"/>
          <w:i/>
          <w:lang w:val="es-ES_tradnl"/>
        </w:rPr>
        <w:t>Los convenios celebrados entre el H. Ayuntamiento de Valle de Chalco Solidaridad y los ex servidores públicos para finiquitar la relación laboral con el H. Ayuntamiento de enero a abril de dos mil dieciocho.</w:t>
      </w:r>
    </w:p>
    <w:p w:rsidR="0044515E" w:rsidRPr="0044515E" w:rsidRDefault="0044515E" w:rsidP="0044515E">
      <w:pPr>
        <w:spacing w:before="240" w:after="0" w:line="360" w:lineRule="auto"/>
        <w:ind w:left="1276" w:right="567" w:hanging="142"/>
        <w:jc w:val="both"/>
        <w:rPr>
          <w:rFonts w:ascii="Palatino Linotype" w:hAnsi="Palatino Linotype" w:cs="Arial"/>
          <w:i/>
          <w:lang w:val="es-ES_tradnl"/>
        </w:rPr>
      </w:pPr>
    </w:p>
    <w:p w:rsidR="0044515E" w:rsidRDefault="0044515E" w:rsidP="0044515E">
      <w:pPr>
        <w:pStyle w:val="Prrafodelista"/>
        <w:spacing w:before="240" w:after="0" w:line="360" w:lineRule="auto"/>
        <w:ind w:left="1494" w:right="567"/>
        <w:jc w:val="both"/>
        <w:rPr>
          <w:rFonts w:ascii="Palatino Linotype" w:hAnsi="Palatino Linotype" w:cs="Arial"/>
          <w:i/>
          <w:lang w:val="es-ES_tradnl"/>
        </w:rPr>
      </w:pPr>
      <w:r w:rsidRPr="0044515E">
        <w:rPr>
          <w:rFonts w:ascii="Palatino Linotype" w:hAnsi="Palatino Linotype" w:cs="Arial"/>
          <w:i/>
          <w:lang w:val="es-ES_tradnl"/>
        </w:rPr>
        <w:t>En el supuesto de que la información referida en los puntos 1 y 2 que anteceden, contenga datos susceptibles de clasificar, se deberá generar la</w:t>
      </w:r>
      <w:r w:rsidRPr="0044515E">
        <w:rPr>
          <w:rFonts w:ascii="Palatino Linotype" w:hAnsi="Palatino Linotype" w:cs="Arial"/>
          <w:lang w:val="es-ES_tradnl"/>
        </w:rPr>
        <w:t xml:space="preserve"> </w:t>
      </w:r>
      <w:r w:rsidRPr="0044515E">
        <w:rPr>
          <w:rFonts w:ascii="Palatino Linotype" w:hAnsi="Palatino Linotype" w:cs="Arial"/>
          <w:i/>
          <w:lang w:val="es-ES_tradnl"/>
        </w:rPr>
        <w:t xml:space="preserve">versión pública correspondiente acompañada del acuerdo de clasificación, en </w:t>
      </w:r>
      <w:r w:rsidRPr="0044515E">
        <w:rPr>
          <w:rFonts w:ascii="Palatino Linotype" w:hAnsi="Palatino Linotype" w:cs="Arial"/>
          <w:i/>
          <w:lang w:val="es-ES_tradnl"/>
        </w:rPr>
        <w:lastRenderedPageBreak/>
        <w:t>términos de lo señalado en el Considerando Quinto y en los artículos 49 fracción VIII, 132 fracción II de la Ley de Transparencia y Acceso a la Información Pública del Estado de México y Municipios y demás normatividad aplicable.</w:t>
      </w:r>
    </w:p>
    <w:p w:rsidR="0044515E" w:rsidRPr="0044515E" w:rsidRDefault="0044515E" w:rsidP="0044515E">
      <w:pPr>
        <w:pStyle w:val="Prrafodelista"/>
        <w:spacing w:before="240" w:after="0" w:line="360" w:lineRule="auto"/>
        <w:ind w:left="1494" w:right="567"/>
        <w:jc w:val="both"/>
        <w:rPr>
          <w:rFonts w:ascii="Palatino Linotype" w:hAnsi="Palatino Linotype" w:cs="Arial"/>
          <w:i/>
          <w:lang w:val="es-ES_tradnl"/>
        </w:rPr>
      </w:pPr>
    </w:p>
    <w:p w:rsidR="0044515E" w:rsidRDefault="0044515E" w:rsidP="0044515E">
      <w:pPr>
        <w:pStyle w:val="Prrafodelista"/>
        <w:spacing w:before="240" w:after="0" w:line="360" w:lineRule="auto"/>
        <w:ind w:left="1494" w:right="567"/>
        <w:jc w:val="both"/>
        <w:rPr>
          <w:rFonts w:ascii="Palatino Linotype" w:hAnsi="Palatino Linotype" w:cs="Arial"/>
          <w:i/>
          <w:lang w:val="es-ES_tradnl"/>
        </w:rPr>
      </w:pPr>
      <w:r w:rsidRPr="0044515E">
        <w:rPr>
          <w:rFonts w:ascii="Palatino Linotype" w:hAnsi="Palatino Linotype" w:cs="Arial"/>
          <w:i/>
          <w:lang w:val="es-ES_tradnl"/>
        </w:rPr>
        <w:t>En el caso de que la información que se ordena la entrega en los puntos 1 y 2 que anteceden, actualice algún supuesto de reserva, deberá poner a su disposición del particular el acuerdo que sustente dicha reserva, en términos del Considerando Quinto.</w:t>
      </w:r>
    </w:p>
    <w:p w:rsidR="0044515E" w:rsidRPr="0044515E" w:rsidRDefault="0044515E" w:rsidP="0044515E">
      <w:pPr>
        <w:pStyle w:val="Prrafodelista"/>
        <w:spacing w:before="240" w:after="0" w:line="360" w:lineRule="auto"/>
        <w:ind w:left="1494" w:right="567"/>
        <w:jc w:val="both"/>
        <w:rPr>
          <w:rFonts w:ascii="Palatino Linotype" w:hAnsi="Palatino Linotype" w:cs="Arial"/>
          <w:i/>
          <w:lang w:val="es-ES_tradnl"/>
        </w:rPr>
      </w:pPr>
    </w:p>
    <w:p w:rsidR="008A3D2D" w:rsidRPr="00BE6935" w:rsidRDefault="000B7C6E" w:rsidP="00A575F3">
      <w:pPr>
        <w:pStyle w:val="Prrafodelista"/>
        <w:numPr>
          <w:ilvl w:val="0"/>
          <w:numId w:val="1"/>
        </w:numPr>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t>S</w:t>
      </w:r>
      <w:r w:rsidR="00C7250F" w:rsidRPr="00BE6935">
        <w:rPr>
          <w:rFonts w:ascii="Palatino Linotype" w:hAnsi="Palatino Linotype" w:cs="Arial"/>
          <w:sz w:val="24"/>
          <w:szCs w:val="24"/>
        </w:rPr>
        <w:t>in embargo, m</w:t>
      </w:r>
      <w:r w:rsidR="0046491C" w:rsidRPr="00BE6935">
        <w:rPr>
          <w:rFonts w:ascii="Palatino Linotype" w:hAnsi="Palatino Linotype" w:cs="Arial"/>
          <w:sz w:val="24"/>
          <w:szCs w:val="24"/>
        </w:rPr>
        <w:t xml:space="preserve">i </w:t>
      </w:r>
      <w:r w:rsidR="00D33AF9" w:rsidRPr="00BE6935">
        <w:rPr>
          <w:rFonts w:ascii="Palatino Linotype" w:hAnsi="Palatino Linotype" w:cs="Arial"/>
          <w:sz w:val="24"/>
          <w:szCs w:val="24"/>
        </w:rPr>
        <w:t>voto</w:t>
      </w:r>
      <w:r w:rsidR="0046491C" w:rsidRPr="00BE6935">
        <w:rPr>
          <w:rFonts w:ascii="Palatino Linotype" w:hAnsi="Palatino Linotype" w:cs="Arial"/>
          <w:sz w:val="24"/>
          <w:szCs w:val="24"/>
        </w:rPr>
        <w:t xml:space="preserve"> particular se deriva del hecho de </w:t>
      </w:r>
      <w:r w:rsidR="00483DF5" w:rsidRPr="00BE6935">
        <w:rPr>
          <w:rFonts w:ascii="Palatino Linotype" w:hAnsi="Palatino Linotype"/>
          <w:sz w:val="24"/>
          <w:szCs w:val="24"/>
        </w:rPr>
        <w:t>la clasificación total o parcial de la información requerida, mediante solicitud de acceso a la información pública, constituye una restricción al derecho humano de acceso a la información</w:t>
      </w:r>
      <w:r w:rsidR="00616B05" w:rsidRPr="00BE6935">
        <w:rPr>
          <w:rFonts w:ascii="Palatino Linotype" w:hAnsi="Palatino Linotype" w:cs="Arial"/>
          <w:sz w:val="24"/>
          <w:szCs w:val="24"/>
        </w:rPr>
        <w:t xml:space="preserve"> así como del pronunciamiento simple</w:t>
      </w:r>
      <w:r w:rsidR="00F2228D" w:rsidRPr="00BE6935">
        <w:rPr>
          <w:rFonts w:ascii="Palatino Linotype" w:hAnsi="Palatino Linotype" w:cs="Arial"/>
          <w:sz w:val="24"/>
          <w:szCs w:val="24"/>
        </w:rPr>
        <w:t xml:space="preserve">. </w:t>
      </w:r>
    </w:p>
    <w:p w:rsidR="00F2228D" w:rsidRPr="00BE6935" w:rsidRDefault="00F2228D" w:rsidP="00CC3138">
      <w:pPr>
        <w:pStyle w:val="Prrafodelista"/>
        <w:spacing w:before="240" w:after="0" w:line="240" w:lineRule="auto"/>
        <w:ind w:left="360" w:right="49"/>
        <w:jc w:val="both"/>
        <w:rPr>
          <w:rFonts w:ascii="Palatino Linotype" w:hAnsi="Palatino Linotype" w:cs="Arial"/>
          <w:sz w:val="24"/>
          <w:szCs w:val="24"/>
        </w:rPr>
      </w:pPr>
    </w:p>
    <w:p w:rsidR="0046491C" w:rsidRPr="00BE6935" w:rsidRDefault="0046491C" w:rsidP="00E34F0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Por tal motivo y en términos de lo señalado por los artículos </w:t>
      </w:r>
      <w:r w:rsidR="00AA49F3" w:rsidRPr="00BE6935">
        <w:rPr>
          <w:rFonts w:ascii="Palatino Linotype" w:hAnsi="Palatino Linotype" w:cs="Arial"/>
          <w:sz w:val="24"/>
          <w:szCs w:val="24"/>
        </w:rPr>
        <w:t>14</w:t>
      </w:r>
      <w:r w:rsidRPr="00BE6935">
        <w:rPr>
          <w:rFonts w:ascii="Palatino Linotype" w:hAnsi="Palatino Linotype" w:cs="Arial"/>
          <w:sz w:val="24"/>
          <w:szCs w:val="24"/>
        </w:rPr>
        <w:t xml:space="preserve"> fracción </w:t>
      </w:r>
      <w:r w:rsidR="00AA49F3" w:rsidRPr="00BE6935">
        <w:rPr>
          <w:rFonts w:ascii="Palatino Linotype" w:hAnsi="Palatino Linotype" w:cs="Arial"/>
          <w:sz w:val="24"/>
          <w:szCs w:val="24"/>
        </w:rPr>
        <w:t>XI</w:t>
      </w:r>
      <w:r w:rsidRPr="00BE6935">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BE6935" w:rsidRDefault="0046491C" w:rsidP="00E34F08">
      <w:pPr>
        <w:pStyle w:val="Ttulo1"/>
        <w:numPr>
          <w:ilvl w:val="0"/>
          <w:numId w:val="12"/>
        </w:numPr>
        <w:spacing w:line="360" w:lineRule="auto"/>
        <w:rPr>
          <w:rFonts w:ascii="Palatino Linotype" w:hAnsi="Palatino Linotype"/>
          <w:b/>
          <w:color w:val="auto"/>
          <w:sz w:val="24"/>
          <w:szCs w:val="24"/>
        </w:rPr>
      </w:pPr>
      <w:bookmarkStart w:id="2" w:name="_Toc522528212"/>
      <w:r w:rsidRPr="00BE6935">
        <w:rPr>
          <w:rFonts w:ascii="Palatino Linotype" w:hAnsi="Palatino Linotype"/>
          <w:b/>
          <w:color w:val="auto"/>
          <w:sz w:val="24"/>
          <w:szCs w:val="24"/>
        </w:rPr>
        <w:t>De los requerimientos planteados en el recurso de revisión.</w:t>
      </w:r>
      <w:bookmarkEnd w:id="2"/>
    </w:p>
    <w:p w:rsidR="0046491C" w:rsidRPr="00BE6935" w:rsidRDefault="0046491C" w:rsidP="001B44E8">
      <w:pPr>
        <w:pStyle w:val="Prrafodelista"/>
        <w:spacing w:after="0" w:line="240" w:lineRule="auto"/>
        <w:ind w:left="1080"/>
        <w:jc w:val="both"/>
        <w:rPr>
          <w:rFonts w:ascii="Palatino Linotype" w:hAnsi="Palatino Linotype" w:cs="Arial"/>
          <w:sz w:val="24"/>
          <w:szCs w:val="24"/>
        </w:rPr>
      </w:pPr>
    </w:p>
    <w:p w:rsidR="00DF6665" w:rsidRPr="00BE6935" w:rsidRDefault="008E1DCC"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El particular</w:t>
      </w:r>
      <w:r w:rsidR="00DF6665" w:rsidRPr="00BE6935">
        <w:rPr>
          <w:rFonts w:ascii="Palatino Linotype" w:hAnsi="Palatino Linotype" w:cs="Arial"/>
          <w:sz w:val="24"/>
          <w:szCs w:val="24"/>
        </w:rPr>
        <w:t xml:space="preserve"> solicitó que el Sujeto Obligado le remitiera la siguiente información: </w:t>
      </w:r>
    </w:p>
    <w:p w:rsidR="0044515E" w:rsidRPr="0044515E" w:rsidRDefault="0044515E" w:rsidP="0044515E">
      <w:pPr>
        <w:pStyle w:val="Prrafodelista"/>
        <w:spacing w:before="240" w:line="360" w:lineRule="auto"/>
        <w:ind w:left="851" w:right="616"/>
        <w:jc w:val="both"/>
        <w:rPr>
          <w:rFonts w:ascii="Palatino Linotype" w:hAnsi="Palatino Linotype" w:cs="Arial"/>
          <w:b/>
          <w:sz w:val="24"/>
          <w:szCs w:val="24"/>
        </w:rPr>
      </w:pPr>
      <w:r>
        <w:rPr>
          <w:rFonts w:ascii="Palatino Linotype" w:hAnsi="Palatino Linotype" w:cs="Arial"/>
          <w:b/>
        </w:rPr>
        <w:t xml:space="preserve">Solicitud </w:t>
      </w:r>
      <w:r w:rsidRPr="0044515E">
        <w:rPr>
          <w:rFonts w:ascii="Palatino Linotype" w:hAnsi="Palatino Linotype" w:cs="Arial"/>
          <w:b/>
        </w:rPr>
        <w:t>00096</w:t>
      </w:r>
      <w:r w:rsidRPr="0044515E">
        <w:rPr>
          <w:rFonts w:ascii="Palatino Linotype" w:hAnsi="Palatino Linotype" w:cs="Arial"/>
          <w:b/>
          <w:sz w:val="24"/>
          <w:szCs w:val="24"/>
        </w:rPr>
        <w:t>/VACHASO/IP/2018</w:t>
      </w:r>
    </w:p>
    <w:p w:rsidR="0044515E" w:rsidRPr="0044515E" w:rsidRDefault="0044515E" w:rsidP="0044515E">
      <w:pPr>
        <w:pStyle w:val="Prrafodelista"/>
        <w:spacing w:before="240" w:line="360" w:lineRule="auto"/>
        <w:ind w:left="851" w:right="616"/>
        <w:jc w:val="both"/>
        <w:rPr>
          <w:rFonts w:ascii="Palatino Linotype" w:hAnsi="Palatino Linotype"/>
          <w:i/>
          <w:color w:val="000000"/>
          <w:sz w:val="24"/>
          <w:szCs w:val="24"/>
        </w:rPr>
      </w:pPr>
      <w:r w:rsidRPr="0044515E">
        <w:rPr>
          <w:rFonts w:ascii="Palatino Linotype" w:hAnsi="Palatino Linotype"/>
          <w:i/>
          <w:color w:val="000000"/>
          <w:sz w:val="24"/>
          <w:szCs w:val="24"/>
        </w:rPr>
        <w:lastRenderedPageBreak/>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w:t>
      </w:r>
      <w:r w:rsidRPr="0044515E">
        <w:rPr>
          <w:rFonts w:ascii="Palatino Linotype" w:eastAsia="Times New Roman" w:hAnsi="Palatino Linotype" w:cs="Times New Roman"/>
          <w:i/>
          <w:sz w:val="24"/>
          <w:szCs w:val="24"/>
          <w:lang w:eastAsia="es-MX"/>
        </w:rPr>
        <w:t>d</w:t>
      </w:r>
      <w:r w:rsidRPr="0044515E">
        <w:rPr>
          <w:rFonts w:ascii="Palatino Linotype" w:hAnsi="Palatino Linotype"/>
          <w:i/>
          <w:color w:val="000000"/>
          <w:sz w:val="24"/>
          <w:szCs w:val="24"/>
        </w:rPr>
        <w:t>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del año 2016. Agradecemos su pronta respuesta.”</w:t>
      </w:r>
    </w:p>
    <w:p w:rsidR="0044515E" w:rsidRPr="0044515E" w:rsidRDefault="0044515E" w:rsidP="0044515E">
      <w:pPr>
        <w:pStyle w:val="Prrafodelista"/>
        <w:spacing w:before="240" w:line="360" w:lineRule="auto"/>
        <w:ind w:left="360" w:right="850"/>
        <w:jc w:val="both"/>
        <w:rPr>
          <w:rFonts w:ascii="Palatino Linotype" w:hAnsi="Palatino Linotype" w:cs="Arial"/>
          <w:b/>
          <w:i/>
          <w:sz w:val="24"/>
          <w:szCs w:val="24"/>
        </w:rPr>
      </w:pPr>
    </w:p>
    <w:p w:rsidR="0044515E" w:rsidRPr="0044515E" w:rsidRDefault="0044515E" w:rsidP="0044515E">
      <w:pPr>
        <w:pStyle w:val="Prrafodelista"/>
        <w:spacing w:before="240" w:line="360" w:lineRule="auto"/>
        <w:ind w:left="851" w:right="616"/>
        <w:jc w:val="both"/>
        <w:rPr>
          <w:rFonts w:ascii="Palatino Linotype" w:hAnsi="Palatino Linotype" w:cs="Arial"/>
          <w:b/>
          <w:sz w:val="24"/>
          <w:szCs w:val="24"/>
        </w:rPr>
      </w:pPr>
      <w:r>
        <w:rPr>
          <w:rFonts w:ascii="Palatino Linotype" w:hAnsi="Palatino Linotype" w:cs="Arial"/>
          <w:b/>
        </w:rPr>
        <w:t xml:space="preserve">Solicitud </w:t>
      </w:r>
      <w:r w:rsidRPr="0044515E">
        <w:rPr>
          <w:rFonts w:ascii="Palatino Linotype" w:hAnsi="Palatino Linotype" w:cs="Arial"/>
          <w:b/>
          <w:sz w:val="24"/>
          <w:szCs w:val="24"/>
        </w:rPr>
        <w:t>00097/</w:t>
      </w:r>
      <w:r w:rsidRPr="0044515E">
        <w:rPr>
          <w:rFonts w:ascii="Palatino Linotype" w:hAnsi="Palatino Linotype" w:cs="Arial"/>
          <w:b/>
        </w:rPr>
        <w:t>VACHASO</w:t>
      </w:r>
      <w:r w:rsidRPr="0044515E">
        <w:rPr>
          <w:rFonts w:ascii="Palatino Linotype" w:hAnsi="Palatino Linotype" w:cs="Arial"/>
          <w:b/>
          <w:sz w:val="24"/>
          <w:szCs w:val="24"/>
        </w:rPr>
        <w:t>/IP/2018</w:t>
      </w:r>
    </w:p>
    <w:p w:rsidR="0044515E" w:rsidRPr="0044515E" w:rsidRDefault="0044515E" w:rsidP="0044515E">
      <w:pPr>
        <w:pStyle w:val="Prrafodelista"/>
        <w:spacing w:before="240" w:line="360" w:lineRule="auto"/>
        <w:ind w:left="851" w:right="616"/>
        <w:jc w:val="both"/>
        <w:rPr>
          <w:rFonts w:ascii="Palatino Linotype" w:hAnsi="Palatino Linotype"/>
          <w:i/>
          <w:color w:val="000000"/>
          <w:sz w:val="24"/>
          <w:szCs w:val="24"/>
        </w:rPr>
      </w:pPr>
      <w:r w:rsidRPr="0044515E">
        <w:rPr>
          <w:rFonts w:ascii="Palatino Linotype" w:hAnsi="Palatino Linotype"/>
          <w:i/>
          <w:color w:val="000000"/>
          <w:sz w:val="24"/>
          <w:szCs w:val="24"/>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w:t>
      </w:r>
      <w:r w:rsidRPr="0044515E">
        <w:rPr>
          <w:rFonts w:ascii="Palatino Linotype" w:eastAsia="Times New Roman" w:hAnsi="Palatino Linotype" w:cs="Times New Roman"/>
          <w:i/>
          <w:sz w:val="24"/>
          <w:szCs w:val="24"/>
          <w:lang w:eastAsia="es-MX"/>
        </w:rPr>
        <w:t>relación</w:t>
      </w:r>
      <w:r w:rsidRPr="0044515E">
        <w:rPr>
          <w:rFonts w:ascii="Palatino Linotype" w:hAnsi="Palatino Linotype"/>
          <w:i/>
          <w:color w:val="000000"/>
          <w:sz w:val="24"/>
          <w:szCs w:val="24"/>
        </w:rPr>
        <w:t xml:space="preserve"> laboral con el H. Ayuntamiento del año 2017. Agradecemos su pronta respuesta.”</w:t>
      </w:r>
    </w:p>
    <w:p w:rsidR="0044515E" w:rsidRPr="0044515E" w:rsidRDefault="0044515E" w:rsidP="0044515E">
      <w:pPr>
        <w:pStyle w:val="Prrafodelista"/>
        <w:spacing w:before="240" w:line="360" w:lineRule="auto"/>
        <w:ind w:left="360" w:right="850"/>
        <w:jc w:val="both"/>
        <w:rPr>
          <w:rFonts w:ascii="Palatino Linotype" w:hAnsi="Palatino Linotype" w:cs="Arial"/>
          <w:b/>
          <w:i/>
          <w:sz w:val="24"/>
          <w:szCs w:val="24"/>
        </w:rPr>
      </w:pPr>
    </w:p>
    <w:p w:rsidR="0044515E" w:rsidRPr="0044515E" w:rsidRDefault="0044515E" w:rsidP="0044515E">
      <w:pPr>
        <w:pStyle w:val="Prrafodelista"/>
        <w:spacing w:before="240" w:line="360" w:lineRule="auto"/>
        <w:ind w:left="851" w:right="616"/>
        <w:jc w:val="both"/>
        <w:rPr>
          <w:rFonts w:ascii="Palatino Linotype" w:hAnsi="Palatino Linotype" w:cs="Arial"/>
          <w:b/>
          <w:sz w:val="24"/>
          <w:szCs w:val="24"/>
        </w:rPr>
      </w:pPr>
      <w:r>
        <w:rPr>
          <w:rFonts w:ascii="Palatino Linotype" w:hAnsi="Palatino Linotype" w:cs="Arial"/>
          <w:b/>
        </w:rPr>
        <w:t xml:space="preserve">Solicitud </w:t>
      </w:r>
      <w:r w:rsidRPr="0044515E">
        <w:rPr>
          <w:rFonts w:ascii="Palatino Linotype" w:hAnsi="Palatino Linotype" w:cs="Arial"/>
          <w:b/>
          <w:sz w:val="24"/>
          <w:szCs w:val="24"/>
        </w:rPr>
        <w:t>00098/</w:t>
      </w:r>
      <w:r w:rsidRPr="0044515E">
        <w:rPr>
          <w:rFonts w:ascii="Palatino Linotype" w:hAnsi="Palatino Linotype" w:cs="Arial"/>
          <w:b/>
        </w:rPr>
        <w:t>VACHASO</w:t>
      </w:r>
      <w:r w:rsidRPr="0044515E">
        <w:rPr>
          <w:rFonts w:ascii="Palatino Linotype" w:hAnsi="Palatino Linotype" w:cs="Arial"/>
          <w:b/>
          <w:sz w:val="24"/>
          <w:szCs w:val="24"/>
        </w:rPr>
        <w:t>/IP/2018</w:t>
      </w:r>
    </w:p>
    <w:p w:rsidR="0044515E" w:rsidRPr="0044515E" w:rsidRDefault="0044515E" w:rsidP="0044515E">
      <w:pPr>
        <w:pStyle w:val="Prrafodelista"/>
        <w:spacing w:before="240" w:line="360" w:lineRule="auto"/>
        <w:ind w:left="851" w:right="616"/>
        <w:jc w:val="both"/>
        <w:rPr>
          <w:rFonts w:ascii="Palatino Linotype" w:eastAsia="Times New Roman" w:hAnsi="Palatino Linotype" w:cs="Times New Roman"/>
          <w:i/>
          <w:sz w:val="24"/>
          <w:szCs w:val="24"/>
          <w:lang w:eastAsia="es-MX"/>
        </w:rPr>
      </w:pPr>
      <w:r w:rsidRPr="0044515E">
        <w:rPr>
          <w:rFonts w:ascii="Palatino Linotype" w:eastAsia="Times New Roman" w:hAnsi="Palatino Linotype" w:cs="Times New Roman"/>
          <w:i/>
          <w:sz w:val="24"/>
          <w:szCs w:val="24"/>
          <w:lang w:eastAsia="es-MX"/>
        </w:rPr>
        <w:lastRenderedPageBreak/>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enero a abril del año 2018. Agradecemos su pronta respuesta.”</w:t>
      </w:r>
    </w:p>
    <w:p w:rsidR="0044515E" w:rsidRDefault="0044515E" w:rsidP="00F2228D">
      <w:pPr>
        <w:pStyle w:val="Prrafodelista"/>
        <w:spacing w:before="240" w:line="360" w:lineRule="auto"/>
        <w:ind w:left="851" w:right="616"/>
        <w:jc w:val="both"/>
        <w:rPr>
          <w:rFonts w:ascii="Palatino Linotype" w:hAnsi="Palatino Linotype" w:cs="Arial"/>
          <w:b/>
        </w:rPr>
      </w:pPr>
    </w:p>
    <w:p w:rsidR="00F2228D" w:rsidRPr="00BE6935" w:rsidRDefault="00AE4797" w:rsidP="0042345D">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BE6935">
        <w:rPr>
          <w:rFonts w:ascii="Palatino Linotype" w:hAnsi="Palatino Linotype" w:cs="Arial"/>
          <w:sz w:val="24"/>
          <w:szCs w:val="24"/>
        </w:rPr>
        <w:t xml:space="preserve">El Sujeto Obligado </w:t>
      </w:r>
      <w:r w:rsidR="00F2228D" w:rsidRPr="00BE6935">
        <w:rPr>
          <w:rFonts w:ascii="Palatino Linotype" w:hAnsi="Palatino Linotype" w:cs="Arial"/>
          <w:sz w:val="24"/>
          <w:szCs w:val="24"/>
        </w:rPr>
        <w:t>fue omiso en dar contestación a las solicitudes de información señaladas en el párrafo anterior.</w:t>
      </w:r>
    </w:p>
    <w:p w:rsidR="00F2228D" w:rsidRPr="00BE6935" w:rsidRDefault="00F2228D" w:rsidP="00F2228D">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746812" w:rsidRPr="00BE6935" w:rsidRDefault="0046491C" w:rsidP="0044515E">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BE6935">
        <w:rPr>
          <w:rFonts w:ascii="Palatino Linotype" w:hAnsi="Palatino Linotype" w:cs="Arial"/>
          <w:sz w:val="24"/>
          <w:szCs w:val="24"/>
        </w:rPr>
        <w:t xml:space="preserve">En ese </w:t>
      </w:r>
      <w:r w:rsidRPr="00BE6935">
        <w:rPr>
          <w:rFonts w:ascii="Palatino Linotype" w:eastAsia="Times New Roman" w:hAnsi="Palatino Linotype" w:cs="Times New Roman"/>
          <w:sz w:val="24"/>
          <w:szCs w:val="24"/>
          <w:lang w:val="es-ES" w:eastAsia="es-ES"/>
        </w:rPr>
        <w:t>sentido</w:t>
      </w:r>
      <w:r w:rsidRPr="00BE6935">
        <w:rPr>
          <w:rFonts w:ascii="Palatino Linotype" w:hAnsi="Palatino Linotype" w:cs="Arial"/>
          <w:sz w:val="24"/>
          <w:szCs w:val="24"/>
        </w:rPr>
        <w:t xml:space="preserve">, </w:t>
      </w:r>
      <w:r w:rsidR="00AE4797" w:rsidRPr="00BE6935">
        <w:rPr>
          <w:rFonts w:ascii="Palatino Linotype" w:hAnsi="Palatino Linotype" w:cs="Arial"/>
          <w:sz w:val="24"/>
          <w:szCs w:val="24"/>
        </w:rPr>
        <w:t>el particular se</w:t>
      </w:r>
      <w:r w:rsidR="0095525C" w:rsidRPr="00BE6935">
        <w:rPr>
          <w:rFonts w:ascii="Palatino Linotype" w:hAnsi="Palatino Linotype" w:cs="Arial"/>
          <w:sz w:val="24"/>
          <w:szCs w:val="24"/>
        </w:rPr>
        <w:t>ñal</w:t>
      </w:r>
      <w:r w:rsidR="00DC63EE" w:rsidRPr="00BE6935">
        <w:rPr>
          <w:rFonts w:ascii="Palatino Linotype" w:hAnsi="Palatino Linotype" w:cs="Arial"/>
          <w:sz w:val="24"/>
          <w:szCs w:val="24"/>
        </w:rPr>
        <w:t>ó</w:t>
      </w:r>
      <w:r w:rsidR="00F2228D" w:rsidRPr="00BE6935">
        <w:rPr>
          <w:rFonts w:ascii="Palatino Linotype" w:hAnsi="Palatino Linotype" w:cs="Arial"/>
          <w:sz w:val="24"/>
          <w:szCs w:val="24"/>
        </w:rPr>
        <w:t xml:space="preserve"> en cada uno de los recursos de revisión</w:t>
      </w:r>
      <w:r w:rsidR="0095525C" w:rsidRPr="00BE6935">
        <w:rPr>
          <w:rFonts w:ascii="Palatino Linotype" w:hAnsi="Palatino Linotype" w:cs="Arial"/>
          <w:sz w:val="24"/>
          <w:szCs w:val="24"/>
        </w:rPr>
        <w:t xml:space="preserve"> como acto impugnado: “</w:t>
      </w:r>
      <w:r w:rsidR="00F2228D" w:rsidRPr="00BE6935">
        <w:rPr>
          <w:rFonts w:ascii="Palatino Linotype" w:hAnsi="Palatino Linotype" w:cs="Arial"/>
          <w:i/>
          <w:sz w:val="24"/>
          <w:szCs w:val="24"/>
        </w:rPr>
        <w:t>“La falta de respuesta a una solicitud de acceso a la información</w:t>
      </w:r>
      <w:r w:rsidR="00EA711B" w:rsidRPr="00BE6935">
        <w:rPr>
          <w:rFonts w:ascii="Palatino Linotype" w:hAnsi="Palatino Linotype" w:cs="Arial"/>
          <w:i/>
          <w:sz w:val="24"/>
          <w:szCs w:val="24"/>
        </w:rPr>
        <w:t>.”</w:t>
      </w:r>
      <w:r w:rsidR="0095525C" w:rsidRPr="00BE6935">
        <w:rPr>
          <w:rFonts w:ascii="Palatino Linotype" w:hAnsi="Palatino Linotype" w:cs="Arial"/>
          <w:i/>
          <w:sz w:val="24"/>
          <w:szCs w:val="24"/>
          <w:lang w:val="es-ES"/>
        </w:rPr>
        <w:t>(Sic)</w:t>
      </w:r>
      <w:r w:rsidR="0095525C" w:rsidRPr="00BE6935">
        <w:rPr>
          <w:rFonts w:ascii="Palatino Linotype" w:hAnsi="Palatino Linotype" w:cs="Arial"/>
          <w:sz w:val="24"/>
          <w:szCs w:val="24"/>
        </w:rPr>
        <w:t xml:space="preserve"> y como motivo de inconformidad: </w:t>
      </w:r>
      <w:r w:rsidR="0044515E" w:rsidRPr="0044515E">
        <w:rPr>
          <w:rFonts w:ascii="Palatino Linotype" w:hAnsi="Palatino Linotype" w:cs="Arial"/>
          <w:i/>
          <w:sz w:val="24"/>
          <w:szCs w:val="24"/>
        </w:rPr>
        <w:t>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quiénes resulten responsables.</w:t>
      </w:r>
      <w:r w:rsidR="00AD16A9" w:rsidRPr="00BE6935">
        <w:rPr>
          <w:rFonts w:ascii="Palatino Linotype" w:hAnsi="Palatino Linotype" w:cs="Arial"/>
          <w:i/>
          <w:sz w:val="24"/>
          <w:szCs w:val="24"/>
          <w:lang w:val="es-ES"/>
        </w:rPr>
        <w:t xml:space="preserve">” </w:t>
      </w:r>
      <w:r w:rsidR="0095525C" w:rsidRPr="00BE6935">
        <w:rPr>
          <w:rFonts w:ascii="Palatino Linotype" w:hAnsi="Palatino Linotype" w:cs="Arial"/>
          <w:i/>
          <w:sz w:val="24"/>
          <w:szCs w:val="24"/>
          <w:lang w:val="es-ES"/>
        </w:rPr>
        <w:t>(</w:t>
      </w:r>
      <w:r w:rsidR="00BE555F" w:rsidRPr="00BE6935">
        <w:rPr>
          <w:rFonts w:ascii="Palatino Linotype" w:hAnsi="Palatino Linotype" w:cs="Arial"/>
          <w:i/>
          <w:sz w:val="24"/>
          <w:szCs w:val="24"/>
          <w:lang w:val="es-ES"/>
        </w:rPr>
        <w:t>Sic)</w:t>
      </w:r>
    </w:p>
    <w:p w:rsidR="00F841A1" w:rsidRPr="00BE6935" w:rsidRDefault="0046491C" w:rsidP="00A575F3">
      <w:pPr>
        <w:pStyle w:val="Prrafodelista"/>
        <w:numPr>
          <w:ilvl w:val="0"/>
          <w:numId w:val="1"/>
        </w:numPr>
        <w:autoSpaceDE w:val="0"/>
        <w:autoSpaceDN w:val="0"/>
        <w:adjustRightInd w:val="0"/>
        <w:spacing w:before="240" w:after="0" w:line="360" w:lineRule="auto"/>
        <w:ind w:right="49"/>
        <w:jc w:val="both"/>
        <w:rPr>
          <w:rFonts w:ascii="Palatino Linotype" w:hAnsi="Palatino Linotype" w:cs="Arial"/>
          <w:sz w:val="24"/>
          <w:szCs w:val="24"/>
        </w:rPr>
      </w:pPr>
      <w:r w:rsidRPr="00BE6935">
        <w:rPr>
          <w:rFonts w:ascii="Palatino Linotype" w:hAnsi="Palatino Linotype" w:cs="Arial"/>
          <w:sz w:val="24"/>
          <w:szCs w:val="24"/>
        </w:rPr>
        <w:lastRenderedPageBreak/>
        <w:t>En el presente asunto que nos ocupa, es de señalar que del análisis hecho a la resolución en comento</w:t>
      </w:r>
      <w:r w:rsidRPr="00BE6935">
        <w:rPr>
          <w:rFonts w:ascii="Palatino Linotype" w:eastAsia="Calibri" w:hAnsi="Palatino Linotype" w:cs="Times New Roman"/>
          <w:sz w:val="24"/>
          <w:szCs w:val="24"/>
          <w:lang w:val="es-ES" w:eastAsia="es-ES"/>
        </w:rPr>
        <w:t xml:space="preserve">, no se discute que el </w:t>
      </w:r>
      <w:r w:rsidRPr="00BE6935">
        <w:rPr>
          <w:rFonts w:ascii="Palatino Linotype" w:eastAsia="Calibri" w:hAnsi="Palatino Linotype" w:cs="Times New Roman"/>
          <w:b/>
          <w:sz w:val="24"/>
          <w:szCs w:val="24"/>
          <w:lang w:val="es-ES" w:eastAsia="es-ES"/>
        </w:rPr>
        <w:t>SUJETO OBLIGADO</w:t>
      </w:r>
      <w:r w:rsidRPr="00BE6935">
        <w:rPr>
          <w:rFonts w:ascii="Palatino Linotype" w:eastAsia="Calibri" w:hAnsi="Palatino Linotype" w:cs="Times New Roman"/>
          <w:sz w:val="24"/>
          <w:szCs w:val="24"/>
          <w:lang w:val="es-ES" w:eastAsia="es-ES"/>
        </w:rPr>
        <w:t xml:space="preserve"> </w:t>
      </w:r>
      <w:r w:rsidR="00D31768" w:rsidRPr="00BE6935">
        <w:rPr>
          <w:rFonts w:ascii="Palatino Linotype" w:eastAsia="Calibri" w:hAnsi="Palatino Linotype" w:cs="Times New Roman"/>
          <w:sz w:val="24"/>
          <w:szCs w:val="24"/>
          <w:lang w:val="es-ES" w:eastAsia="es-ES"/>
        </w:rPr>
        <w:t xml:space="preserve">al no haber dato atención a las solicitudes de información se debe de ordenar la entrega de la misma toda vez que pudiera obrar en sus archivos en virtud de que cuenta con atribuciones y facultades, sin embargo no se abundó en el tema de clasificación de la información. </w:t>
      </w:r>
    </w:p>
    <w:p w:rsidR="00985973" w:rsidRPr="00BE6935" w:rsidRDefault="00985973" w:rsidP="005917FA">
      <w:pPr>
        <w:pStyle w:val="Ttulo1"/>
        <w:numPr>
          <w:ilvl w:val="0"/>
          <w:numId w:val="12"/>
        </w:numPr>
        <w:spacing w:line="360" w:lineRule="auto"/>
        <w:rPr>
          <w:rFonts w:ascii="Palatino Linotype" w:hAnsi="Palatino Linotype" w:cs="Arial"/>
          <w:b/>
          <w:color w:val="auto"/>
          <w:sz w:val="24"/>
        </w:rPr>
      </w:pPr>
      <w:bookmarkStart w:id="3" w:name="_Toc485899337"/>
      <w:bookmarkStart w:id="4" w:name="_Toc522528213"/>
      <w:r w:rsidRPr="00BE6935">
        <w:rPr>
          <w:rFonts w:ascii="Palatino Linotype" w:hAnsi="Palatino Linotype"/>
          <w:b/>
          <w:color w:val="auto"/>
          <w:sz w:val="24"/>
          <w:szCs w:val="24"/>
        </w:rPr>
        <w:t>Efectos</w:t>
      </w:r>
      <w:r w:rsidRPr="00BE6935">
        <w:rPr>
          <w:rFonts w:ascii="Palatino Linotype" w:hAnsi="Palatino Linotype" w:cs="Arial"/>
          <w:b/>
          <w:color w:val="auto"/>
          <w:sz w:val="24"/>
        </w:rPr>
        <w:t xml:space="preserve"> de la clasificación de información y la importancia de emitir acuerdos, para tales efectos, apegados a derecho</w:t>
      </w:r>
      <w:bookmarkEnd w:id="3"/>
      <w:r w:rsidR="00DD1EF2" w:rsidRPr="00BE6935">
        <w:rPr>
          <w:rFonts w:ascii="Palatino Linotype" w:hAnsi="Palatino Linotype" w:cs="Arial"/>
          <w:b/>
          <w:color w:val="auto"/>
          <w:sz w:val="24"/>
        </w:rPr>
        <w:t>.</w:t>
      </w:r>
      <w:bookmarkEnd w:id="4"/>
    </w:p>
    <w:p w:rsidR="00985973" w:rsidRPr="00BE6935" w:rsidRDefault="00985973" w:rsidP="001B44E8">
      <w:pPr>
        <w:pStyle w:val="Prrafodelista"/>
        <w:spacing w:after="0" w:line="240" w:lineRule="auto"/>
        <w:ind w:left="1080"/>
        <w:jc w:val="both"/>
        <w:rPr>
          <w:rFonts w:ascii="Palatino Linotype" w:hAnsi="Palatino Linotype"/>
          <w:b/>
          <w:sz w:val="24"/>
          <w:szCs w:val="24"/>
        </w:rPr>
      </w:pPr>
    </w:p>
    <w:p w:rsidR="008A50BB" w:rsidRPr="00BE6935" w:rsidRDefault="00DD1EF2"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L</w:t>
      </w:r>
      <w:r w:rsidR="00985973" w:rsidRPr="00BE6935">
        <w:rPr>
          <w:rFonts w:ascii="Palatino Linotype" w:hAnsi="Palatino Linotype"/>
          <w:sz w:val="24"/>
          <w:szCs w:val="24"/>
        </w:rPr>
        <w:t>a clasificación total o parcial de la información requerida, mediante solicitud de acceso a la información pública, constituye una restricción al derecho huma</w:t>
      </w:r>
      <w:r w:rsidR="005917FA" w:rsidRPr="00BE6935">
        <w:rPr>
          <w:rFonts w:ascii="Palatino Linotype" w:hAnsi="Palatino Linotype"/>
          <w:sz w:val="24"/>
          <w:szCs w:val="24"/>
        </w:rPr>
        <w:t>no de acceso a la información c</w:t>
      </w:r>
      <w:r w:rsidR="00985973" w:rsidRPr="00BE6935">
        <w:rPr>
          <w:rFonts w:ascii="Palatino Linotype" w:hAnsi="Palatino Linotype"/>
          <w:sz w:val="24"/>
          <w:szCs w:val="24"/>
        </w:rPr>
        <w:t>omo reiteradamente han dicho, diversos órganos jurisdiccionales, ningún derecho es absoluto</w:t>
      </w:r>
      <w:r w:rsidR="00985973" w:rsidRPr="00BE6935">
        <w:rPr>
          <w:rStyle w:val="Refdenotaalpie"/>
          <w:rFonts w:ascii="Palatino Linotype" w:hAnsi="Palatino Linotype"/>
          <w:sz w:val="24"/>
          <w:szCs w:val="24"/>
        </w:rPr>
        <w:footnoteReference w:id="1"/>
      </w:r>
      <w:r w:rsidR="00985973" w:rsidRPr="00BE6935">
        <w:rPr>
          <w:rFonts w:ascii="Palatino Linotype" w:hAnsi="Palatino Linotype"/>
          <w:sz w:val="24"/>
          <w:szCs w:val="24"/>
        </w:rPr>
        <w:t xml:space="preserve"> aunque cualquier límite o </w:t>
      </w:r>
      <w:r w:rsidR="00985973" w:rsidRPr="00BE6935">
        <w:rPr>
          <w:rFonts w:ascii="Palatino Linotype" w:hAnsi="Palatino Linotype"/>
          <w:sz w:val="24"/>
          <w:szCs w:val="24"/>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985973" w:rsidRPr="00BE6935">
        <w:rPr>
          <w:rStyle w:val="Refdenotaalpie"/>
          <w:rFonts w:ascii="Palatino Linotype" w:hAnsi="Palatino Linotype"/>
          <w:sz w:val="24"/>
          <w:szCs w:val="24"/>
        </w:rPr>
        <w:footnoteReference w:id="2"/>
      </w:r>
      <w:r w:rsidR="00985973" w:rsidRPr="00BE6935">
        <w:rPr>
          <w:rFonts w:ascii="Palatino Linotype" w:hAnsi="Palatino Linotype"/>
          <w:sz w:val="24"/>
          <w:szCs w:val="24"/>
        </w:rPr>
        <w:t xml:space="preserve"> </w:t>
      </w:r>
    </w:p>
    <w:p w:rsidR="008A50BB" w:rsidRPr="00BE6935" w:rsidRDefault="008A50BB" w:rsidP="008A50BB">
      <w:pPr>
        <w:pStyle w:val="Prrafodelista"/>
        <w:autoSpaceDE w:val="0"/>
        <w:autoSpaceDN w:val="0"/>
        <w:adjustRightInd w:val="0"/>
        <w:spacing w:after="0" w:line="240" w:lineRule="auto"/>
        <w:ind w:left="360" w:right="49"/>
        <w:jc w:val="both"/>
        <w:rPr>
          <w:rFonts w:ascii="Palatino Linotype" w:hAnsi="Palatino Linotype"/>
          <w:sz w:val="24"/>
          <w:szCs w:val="24"/>
        </w:rPr>
      </w:pPr>
    </w:p>
    <w:p w:rsidR="00985973" w:rsidRPr="00BE6935" w:rsidRDefault="00985973" w:rsidP="005917FA">
      <w:pPr>
        <w:pStyle w:val="Prrafodelista"/>
        <w:numPr>
          <w:ilvl w:val="0"/>
          <w:numId w:val="1"/>
        </w:numPr>
        <w:autoSpaceDE w:val="0"/>
        <w:autoSpaceDN w:val="0"/>
        <w:adjustRightInd w:val="0"/>
        <w:spacing w:before="240" w:after="0" w:line="360" w:lineRule="auto"/>
        <w:ind w:right="49"/>
        <w:jc w:val="both"/>
        <w:rPr>
          <w:rFonts w:ascii="Palatino Linotype" w:hAnsi="Palatino Linotype"/>
          <w:sz w:val="24"/>
          <w:szCs w:val="24"/>
        </w:rPr>
      </w:pPr>
      <w:r w:rsidRPr="00BE6935">
        <w:rPr>
          <w:rFonts w:ascii="Palatino Linotype" w:hAnsi="Palatino Linotype"/>
          <w:sz w:val="24"/>
          <w:szCs w:val="24"/>
        </w:rPr>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85973" w:rsidRPr="00BE6935" w:rsidRDefault="00985973" w:rsidP="001B44E8">
      <w:pPr>
        <w:pStyle w:val="Prrafodelista"/>
        <w:spacing w:line="240" w:lineRule="auto"/>
        <w:ind w:left="360"/>
        <w:jc w:val="both"/>
        <w:rPr>
          <w:rFonts w:ascii="Palatino Linotype" w:hAnsi="Palatino Linotype"/>
          <w:sz w:val="24"/>
          <w:szCs w:val="24"/>
        </w:rPr>
      </w:pPr>
      <w:r w:rsidRPr="00BE6935">
        <w:rPr>
          <w:rFonts w:ascii="Palatino Linotype" w:hAnsi="Palatino Linotype"/>
          <w:sz w:val="24"/>
          <w:szCs w:val="24"/>
        </w:rPr>
        <w:t xml:space="preserve"> </w:t>
      </w: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El grave problema que enfrentamos todos los días, al resolver los recursos de revisión que se presenten consiste en que a pesar de que han pasado más de dos </w:t>
      </w:r>
      <w:r w:rsidRPr="00BE6935">
        <w:rPr>
          <w:rFonts w:ascii="Palatino Linotype" w:hAnsi="Palatino Linotype"/>
          <w:sz w:val="24"/>
          <w:szCs w:val="24"/>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85973" w:rsidRPr="00BE6935" w:rsidRDefault="00985973" w:rsidP="008A50BB">
      <w:pPr>
        <w:pStyle w:val="Prrafodelista"/>
        <w:spacing w:after="0" w:line="240" w:lineRule="auto"/>
        <w:ind w:left="360"/>
        <w:jc w:val="both"/>
        <w:rPr>
          <w:rFonts w:ascii="Palatino Linotype" w:hAnsi="Palatino Linotype"/>
          <w:sz w:val="24"/>
          <w:szCs w:val="24"/>
        </w:rPr>
      </w:pPr>
    </w:p>
    <w:p w:rsidR="00985973" w:rsidRPr="00BE6935" w:rsidRDefault="00985973" w:rsidP="005917FA">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Por esa razón, </w:t>
      </w:r>
      <w:r w:rsidR="008A50BB" w:rsidRPr="00BE6935">
        <w:rPr>
          <w:rFonts w:ascii="Palatino Linotype" w:hAnsi="Palatino Linotype"/>
          <w:sz w:val="24"/>
          <w:szCs w:val="24"/>
        </w:rPr>
        <w:t>presento mi voto particular</w:t>
      </w:r>
      <w:r w:rsidRPr="00BE6935">
        <w:rPr>
          <w:rFonts w:ascii="Palatino Linotype" w:hAnsi="Palatino Linotype"/>
          <w:sz w:val="24"/>
          <w:szCs w:val="24"/>
        </w:rPr>
        <w:t>, con la finalidad de presentar un apretado resumen de las formalidades, elementos y procedimientos que debe considerar el sujeto obligado para emitir este tipo de acuerdos y que el Órgano Garante debe verificar que se cumplan.</w:t>
      </w:r>
    </w:p>
    <w:p w:rsidR="00985973" w:rsidRPr="00BE6935" w:rsidRDefault="00985973" w:rsidP="001D2906">
      <w:pPr>
        <w:pStyle w:val="Ttulo1"/>
        <w:numPr>
          <w:ilvl w:val="0"/>
          <w:numId w:val="38"/>
        </w:numPr>
        <w:rPr>
          <w:rFonts w:ascii="Palatino Linotype" w:hAnsi="Palatino Linotype" w:cs="Arial"/>
          <w:b/>
          <w:color w:val="auto"/>
          <w:sz w:val="24"/>
        </w:rPr>
      </w:pPr>
      <w:bookmarkStart w:id="5" w:name="_Toc485899338"/>
      <w:bookmarkStart w:id="6" w:name="_Toc522528214"/>
      <w:r w:rsidRPr="00BE6935">
        <w:rPr>
          <w:rFonts w:ascii="Palatino Linotype" w:hAnsi="Palatino Linotype" w:cs="Arial"/>
          <w:b/>
          <w:color w:val="auto"/>
          <w:sz w:val="24"/>
        </w:rPr>
        <w:t>Requisitos previos</w:t>
      </w:r>
      <w:bookmarkEnd w:id="5"/>
      <w:bookmarkEnd w:id="6"/>
    </w:p>
    <w:p w:rsidR="00985973" w:rsidRPr="00BE6935" w:rsidRDefault="00985973" w:rsidP="007C5739">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Los </w:t>
      </w:r>
      <w:r w:rsidRPr="00BE6935">
        <w:rPr>
          <w:rFonts w:ascii="Palatino Linotype" w:hAnsi="Palatino Linotype"/>
          <w:sz w:val="24"/>
          <w:szCs w:val="24"/>
        </w:rPr>
        <w:t>artículos</w:t>
      </w:r>
      <w:r w:rsidRPr="00BE6935">
        <w:rPr>
          <w:rFonts w:ascii="Palatino Linotype" w:hAnsi="Palatino Linotype" w:cs="Arial"/>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w:t>
      </w:r>
      <w:r w:rsidR="001D2906" w:rsidRPr="00BE6935">
        <w:rPr>
          <w:rFonts w:ascii="Palatino Linotype" w:hAnsi="Palatino Linotype" w:cs="Arial"/>
          <w:sz w:val="24"/>
          <w:szCs w:val="24"/>
        </w:rPr>
        <w:t>os de clasificar la información; e</w:t>
      </w:r>
      <w:r w:rsidRPr="00BE6935">
        <w:rPr>
          <w:rFonts w:ascii="Palatino Linotype" w:hAnsi="Palatino Linotype" w:cs="Arial"/>
          <w:sz w:val="24"/>
          <w:szCs w:val="24"/>
        </w:rPr>
        <w:t>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85973" w:rsidRPr="00BE6935" w:rsidRDefault="00985973" w:rsidP="007C5739">
      <w:pPr>
        <w:pStyle w:val="Prrafodelista"/>
        <w:spacing w:line="240" w:lineRule="auto"/>
        <w:ind w:left="360"/>
        <w:jc w:val="both"/>
        <w:rPr>
          <w:rFonts w:ascii="Palatino Linotype" w:hAnsi="Palatino Linotype" w:cs="Arial"/>
          <w:sz w:val="1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85973" w:rsidRPr="00BE6935" w:rsidRDefault="00985973" w:rsidP="001B44E8">
      <w:pPr>
        <w:pStyle w:val="Prrafodelista"/>
        <w:spacing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85973" w:rsidRPr="00BE6935" w:rsidRDefault="00985973" w:rsidP="001D2906">
      <w:pPr>
        <w:pStyle w:val="Ttulo1"/>
        <w:numPr>
          <w:ilvl w:val="0"/>
          <w:numId w:val="38"/>
        </w:numPr>
        <w:rPr>
          <w:rFonts w:ascii="Palatino Linotype" w:hAnsi="Palatino Linotype" w:cs="Arial"/>
          <w:b/>
          <w:color w:val="auto"/>
          <w:sz w:val="24"/>
        </w:rPr>
      </w:pPr>
      <w:bookmarkStart w:id="7" w:name="_Toc485899339"/>
      <w:bookmarkStart w:id="8" w:name="_Toc522528215"/>
      <w:r w:rsidRPr="00BE6935">
        <w:rPr>
          <w:rFonts w:ascii="Palatino Linotype" w:hAnsi="Palatino Linotype" w:cs="Arial"/>
          <w:b/>
          <w:color w:val="auto"/>
          <w:sz w:val="24"/>
        </w:rPr>
        <w:t>Supuestos de clasificación</w:t>
      </w:r>
      <w:bookmarkEnd w:id="7"/>
      <w:bookmarkEnd w:id="8"/>
    </w:p>
    <w:p w:rsidR="001B44E8" w:rsidRPr="00BE6935" w:rsidRDefault="001B44E8" w:rsidP="001B44E8">
      <w:pPr>
        <w:rPr>
          <w:sz w:val="1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Las disposiciones constitucionales y legales en la materia establecen los dos supuestos generales para clasificar la información: por reserva y por confidencialidad.</w:t>
      </w: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Los artículos 140 y 113 de la Ley Estatal y de la Ley General, respectivamente, señalan los supuestos para que una información pueda considerarse como reservada, que son los siguientes:</w:t>
      </w:r>
    </w:p>
    <w:tbl>
      <w:tblPr>
        <w:tblStyle w:val="Tablanormal1"/>
        <w:tblW w:w="8647" w:type="dxa"/>
        <w:tblInd w:w="279" w:type="dxa"/>
        <w:tblLook w:val="04A0" w:firstRow="1" w:lastRow="0" w:firstColumn="1" w:lastColumn="0" w:noHBand="0" w:noVBand="1"/>
      </w:tblPr>
      <w:tblGrid>
        <w:gridCol w:w="4135"/>
        <w:gridCol w:w="4512"/>
      </w:tblGrid>
      <w:tr w:rsidR="00BE6935" w:rsidRPr="00BE6935" w:rsidTr="001D2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center"/>
              <w:rPr>
                <w:rFonts w:ascii="Palatino Linotype" w:hAnsi="Palatino Linotype"/>
                <w:b w:val="0"/>
                <w:szCs w:val="20"/>
              </w:rPr>
            </w:pPr>
            <w:r w:rsidRPr="00BE6935">
              <w:rPr>
                <w:rFonts w:ascii="Palatino Linotype" w:hAnsi="Palatino Linotype" w:cs="Gill Sans,Bold"/>
                <w:b w:val="0"/>
                <w:szCs w:val="20"/>
              </w:rPr>
              <w:t>LEY ESTATAL</w:t>
            </w:r>
          </w:p>
        </w:tc>
        <w:tc>
          <w:tcPr>
            <w:tcW w:w="4512" w:type="dxa"/>
          </w:tcPr>
          <w:p w:rsidR="00985973" w:rsidRPr="00BE6935" w:rsidRDefault="00985973" w:rsidP="001D2906">
            <w:pPr>
              <w:spacing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Cs w:val="20"/>
              </w:rPr>
            </w:pPr>
            <w:r w:rsidRPr="00BE6935">
              <w:rPr>
                <w:rFonts w:ascii="Palatino Linotype" w:hAnsi="Palatino Linotype"/>
                <w:b w:val="0"/>
                <w:szCs w:val="20"/>
              </w:rPr>
              <w:t>LEY GENERAL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lastRenderedPageBreak/>
              <w:t>I. Comprometa la seguridad pública y cuente con un propósito genuino y un efecto demostrable;</w:t>
            </w:r>
          </w:p>
          <w:p w:rsidR="00985973" w:rsidRPr="00BE6935" w:rsidRDefault="00985973" w:rsidP="001D2906">
            <w:pPr>
              <w:spacing w:line="276" w:lineRule="auto"/>
              <w:jc w:val="both"/>
              <w:rPr>
                <w:rFonts w:ascii="Palatino Linotype" w:hAnsi="Palatino Linotype"/>
                <w:b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w:t>
            </w:r>
            <w:r w:rsidRPr="00BE6935">
              <w:rPr>
                <w:rFonts w:ascii="Palatino Linotype" w:hAnsi="Palatino Linotype"/>
                <w:szCs w:val="20"/>
                <w:lang w:val="es-ES"/>
              </w:rPr>
              <w:tab/>
              <w:t>Comprometa la seguridad nacional, la seguridad pública o la defensa nacional y cuente con un propósito genuino y un efecto demostrable;</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 Pueda menoscabar la conducción de las negociaciones y relaciones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w:t>
            </w:r>
            <w:r w:rsidRPr="00BE6935">
              <w:rPr>
                <w:rFonts w:ascii="Palatino Linotype" w:hAnsi="Palatino Linotype"/>
                <w:szCs w:val="20"/>
                <w:lang w:val="es-ES"/>
              </w:rPr>
              <w:tab/>
              <w:t>Pueda menoscabar la conducción de las negociaciones y relaciones internacionales;</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III.</w:t>
            </w:r>
            <w:r w:rsidRPr="00BE6935">
              <w:rPr>
                <w:rFonts w:ascii="Palatino Linotype" w:hAnsi="Palatino Linotype"/>
                <w:szCs w:val="20"/>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IV.</w:t>
            </w:r>
            <w:r w:rsidRPr="00BE6935">
              <w:rPr>
                <w:rFonts w:ascii="Palatino Linotype" w:hAnsi="Palatino Linotype"/>
                <w:szCs w:val="20"/>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IV. Ponga en riesgo la vida, la seguridad o la salud de una persona física;</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w:t>
            </w:r>
            <w:r w:rsidRPr="00BE6935">
              <w:rPr>
                <w:rFonts w:ascii="Palatino Linotype" w:hAnsi="Palatino Linotype"/>
                <w:szCs w:val="20"/>
                <w:lang w:val="es-ES"/>
              </w:rPr>
              <w:tab/>
              <w:t>Pueda poner en riesgo la vida, seguridad o salud de una persona física;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 Aquella cuya divulgación obstruya o pueda causar un serio perjuicio a:</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1. Las actividades de fiscalización, verificación, inspección, comprobación y auditoría sobre el cumplimiento de las Leyes; o</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2. La recaudación de las contribuciones.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lastRenderedPageBreak/>
              <w:t>VI.</w:t>
            </w:r>
            <w:r w:rsidRPr="00BE6935">
              <w:rPr>
                <w:rFonts w:ascii="Palatino Linotype" w:hAnsi="Palatino Linotype"/>
                <w:szCs w:val="20"/>
                <w:lang w:val="es-ES"/>
              </w:rPr>
              <w:tab/>
              <w:t xml:space="preserve">Obstruya las actividades de verificación, inspección y auditoría relativas </w:t>
            </w:r>
            <w:r w:rsidRPr="00BE6935">
              <w:rPr>
                <w:rFonts w:ascii="Palatino Linotype" w:hAnsi="Palatino Linotype"/>
                <w:szCs w:val="20"/>
                <w:lang w:val="es-ES"/>
              </w:rPr>
              <w:lastRenderedPageBreak/>
              <w:t>al cumplimiento de las leyes o afecte la recaudación de contribuciones;</w:t>
            </w: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rPr>
            </w:pP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VII.</w:t>
            </w:r>
            <w:r w:rsidRPr="00BE6935">
              <w:rPr>
                <w:rFonts w:ascii="Palatino Linotype" w:hAnsi="Palatino Linotype"/>
                <w:szCs w:val="20"/>
                <w:lang w:val="es-ES"/>
              </w:rPr>
              <w:tab/>
              <w:t>Obstruya la prevención o persecución de los delitos;</w:t>
            </w: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p>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VII. La que contengan las opiniones, recomendaciones o puntos de vista que formen parte del proceso deliberativo de los servidores públicos, hasta en tanto sea adoptada la decisión definitiva, la cual deberá estar documentada;</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VIII.</w:t>
            </w:r>
            <w:r w:rsidRPr="00BE6935">
              <w:rPr>
                <w:rFonts w:ascii="Palatino Linotype" w:hAnsi="Palatino Linotype"/>
                <w:szCs w:val="20"/>
                <w:lang w:val="es-ES"/>
              </w:rPr>
              <w:tab/>
              <w:t>La que contenga las opiniones, recomendaciones o puntos de vista que formen parte del proceso deliberativo de los servidores públicos, hasta en tanto no sea adoptada la decisión definitiva, la cual deberá estar documentada;</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IX.</w:t>
            </w:r>
            <w:r w:rsidRPr="00BE6935">
              <w:rPr>
                <w:rFonts w:ascii="Palatino Linotype" w:hAnsi="Palatino Linotype"/>
                <w:szCs w:val="20"/>
                <w:lang w:val="es-ES"/>
              </w:rPr>
              <w:tab/>
              <w:t>Obstruya los procedimientos para fincar responsabilidad a los Servidores Públicos, en tanto no se haya dictado la resolución administrativa;</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w:t>
            </w:r>
            <w:r w:rsidRPr="00BE6935">
              <w:rPr>
                <w:rFonts w:ascii="Palatino Linotype" w:hAnsi="Palatino Linotype"/>
                <w:szCs w:val="20"/>
                <w:lang w:val="es-ES"/>
              </w:rPr>
              <w:tab/>
              <w:t>Afecte los derechos del debido proceso;</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bCs w:val="0"/>
                <w:szCs w:val="20"/>
              </w:rPr>
            </w:pPr>
            <w:r w:rsidRPr="00BE6935">
              <w:rPr>
                <w:rFonts w:ascii="Palatino Linotype" w:hAnsi="Palatino Linotype" w:cs="Arial"/>
                <w:b w:val="0"/>
                <w:szCs w:val="20"/>
              </w:rPr>
              <w:t>VIII. Vulnere la conducción de los expedientes judiciales o de los procedimientos administrativos seguidos en forma de juicio, en tanto no hayan quedado firmes;</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w:t>
            </w:r>
            <w:r w:rsidRPr="00BE6935">
              <w:rPr>
                <w:rFonts w:ascii="Palatino Linotype" w:hAnsi="Palatino Linotype"/>
                <w:szCs w:val="20"/>
                <w:lang w:val="es-ES"/>
              </w:rPr>
              <w:tab/>
              <w:t>Vulnere la conducción de los Expedientes judiciales o de los procedimientos administrativos seguidos en forma de juicio, en tanto no hayan causado estado;</w:t>
            </w: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IX. Se encuentre contenida dentro de las investigaciones de hechos que la Ley señale como delitos y se tramiten ante el Ministerio Público;</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t>XII.</w:t>
            </w:r>
            <w:r w:rsidRPr="00BE6935">
              <w:rPr>
                <w:rFonts w:ascii="Palatino Linotype" w:hAnsi="Palatino Linotype"/>
                <w:szCs w:val="20"/>
                <w:lang w:val="es-ES"/>
              </w:rPr>
              <w:tab/>
              <w:t>Se encuentre contenida dentro de las investigaciones de hechos que la ley señale como delitos y se tramiten ante el Ministerio Público, y</w:t>
            </w:r>
          </w:p>
        </w:tc>
      </w:tr>
      <w:tr w:rsidR="00BE6935" w:rsidRPr="00BE6935" w:rsidTr="001D2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5973" w:rsidRPr="00BE6935" w:rsidRDefault="00985973" w:rsidP="001D2906">
            <w:pPr>
              <w:autoSpaceDE w:val="0"/>
              <w:autoSpaceDN w:val="0"/>
              <w:adjustRightInd w:val="0"/>
              <w:spacing w:line="276" w:lineRule="auto"/>
              <w:jc w:val="both"/>
              <w:rPr>
                <w:rFonts w:ascii="Palatino Linotype" w:hAnsi="Palatino Linotype" w:cs="Arial"/>
                <w:b w:val="0"/>
                <w:szCs w:val="20"/>
              </w:rPr>
            </w:pPr>
            <w:r w:rsidRPr="00BE6935">
              <w:rPr>
                <w:rFonts w:ascii="Palatino Linotype" w:hAnsi="Palatino Linotype" w:cs="Arial"/>
                <w:b w:val="0"/>
                <w:szCs w:val="2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512" w:type="dxa"/>
          </w:tcPr>
          <w:p w:rsidR="00985973" w:rsidRPr="00BE6935" w:rsidRDefault="00985973" w:rsidP="001D290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0"/>
              </w:rPr>
            </w:pPr>
          </w:p>
        </w:tc>
      </w:tr>
      <w:tr w:rsidR="00BE6935" w:rsidRPr="00BE6935" w:rsidTr="001D2906">
        <w:tc>
          <w:tcPr>
            <w:cnfStyle w:val="001000000000" w:firstRow="0" w:lastRow="0" w:firstColumn="1" w:lastColumn="0" w:oddVBand="0" w:evenVBand="0" w:oddHBand="0" w:evenHBand="0" w:firstRowFirstColumn="0" w:firstRowLastColumn="0" w:lastRowFirstColumn="0" w:lastRowLastColumn="0"/>
            <w:tcW w:w="4135" w:type="dxa"/>
          </w:tcPr>
          <w:p w:rsidR="00985973" w:rsidRPr="00BE6935" w:rsidRDefault="00985973" w:rsidP="001D2906">
            <w:pPr>
              <w:spacing w:line="276" w:lineRule="auto"/>
              <w:jc w:val="both"/>
              <w:rPr>
                <w:rFonts w:ascii="Palatino Linotype" w:hAnsi="Palatino Linotype"/>
                <w:b w:val="0"/>
                <w:szCs w:val="20"/>
              </w:rPr>
            </w:pPr>
            <w:r w:rsidRPr="00BE6935">
              <w:rPr>
                <w:rFonts w:ascii="Palatino Linotype" w:hAnsi="Palatino Linotype" w:cs="Arial"/>
                <w:b w:val="0"/>
                <w:szCs w:val="20"/>
              </w:rPr>
              <w:t xml:space="preserve">XI. Las que por disposición expresa de una ley tengan tal carácter, siempre que sean acordes con las bases, principios y disposiciones establecidos en esta Ley y </w:t>
            </w:r>
            <w:r w:rsidRPr="00BE6935">
              <w:rPr>
                <w:rFonts w:ascii="Palatino Linotype" w:hAnsi="Palatino Linotype" w:cs="Arial"/>
                <w:b w:val="0"/>
                <w:szCs w:val="20"/>
              </w:rPr>
              <w:lastRenderedPageBreak/>
              <w:t>no la contravengan; así como las previstas en tratados internacionales.</w:t>
            </w:r>
          </w:p>
        </w:tc>
        <w:tc>
          <w:tcPr>
            <w:tcW w:w="4512" w:type="dxa"/>
          </w:tcPr>
          <w:p w:rsidR="00985973" w:rsidRPr="00BE6935" w:rsidRDefault="00985973" w:rsidP="001D290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0"/>
                <w:lang w:val="es-ES"/>
              </w:rPr>
            </w:pPr>
            <w:r w:rsidRPr="00BE6935">
              <w:rPr>
                <w:rFonts w:ascii="Palatino Linotype" w:hAnsi="Palatino Linotype"/>
                <w:szCs w:val="20"/>
                <w:lang w:val="es-ES"/>
              </w:rPr>
              <w:lastRenderedPageBreak/>
              <w:t>XIII.</w:t>
            </w:r>
            <w:r w:rsidRPr="00BE6935">
              <w:rPr>
                <w:rFonts w:ascii="Palatino Linotype" w:hAnsi="Palatino Linotype"/>
                <w:szCs w:val="20"/>
                <w:lang w:val="es-ES"/>
              </w:rPr>
              <w:tab/>
              <w:t xml:space="preserve">Las que por disposición expresa de una ley tengan tal carácter, siempre que sean acordes con las bases, principios y disposiciones establecidos en esta Ley y no </w:t>
            </w:r>
            <w:r w:rsidRPr="00BE6935">
              <w:rPr>
                <w:rFonts w:ascii="Palatino Linotype" w:hAnsi="Palatino Linotype"/>
                <w:szCs w:val="20"/>
                <w:lang w:val="es-ES"/>
              </w:rPr>
              <w:lastRenderedPageBreak/>
              <w:t>la contravengan; así como las previstas en tratados internacionales.</w:t>
            </w:r>
          </w:p>
        </w:tc>
      </w:tr>
    </w:tbl>
    <w:p w:rsidR="00985973" w:rsidRPr="00BE6935" w:rsidRDefault="00985973" w:rsidP="007C5739">
      <w:pPr>
        <w:spacing w:after="0" w:line="360" w:lineRule="auto"/>
        <w:jc w:val="both"/>
        <w:rPr>
          <w:rFonts w:ascii="Palatino Linotype" w:hAnsi="Palatino Linotype" w:cs="Arial"/>
          <w:sz w:val="24"/>
          <w:szCs w:val="24"/>
        </w:rPr>
      </w:pPr>
    </w:p>
    <w:p w:rsidR="00985973" w:rsidRPr="00BE6935" w:rsidRDefault="00985973" w:rsidP="003D7273">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Mientras que los artículos 143 y 116 de la Ley Estatal y de la Ley General, respectivamente, señalan los supuestos para que la información pueda ser clasificada como confidencial:</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 </w:t>
      </w:r>
      <w:r w:rsidRPr="00BE6935">
        <w:rPr>
          <w:rFonts w:ascii="Palatino Linotype" w:hAnsi="Palatino Linotype" w:cs="Bookman Old Style"/>
          <w:szCs w:val="26"/>
          <w:lang w:val="es-ES_tradnl"/>
        </w:rPr>
        <w:t xml:space="preserve">Se refiera a la información privada y los datos personales concernientes a una persona física o jurídico colectiva identificada o identificable;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 </w:t>
      </w:r>
      <w:r w:rsidRPr="00BE6935">
        <w:rPr>
          <w:rFonts w:ascii="Palatino Linotype" w:hAnsi="Palatino Linotype" w:cs="Bookman Old Style"/>
          <w:szCs w:val="26"/>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III. </w:t>
      </w:r>
      <w:r w:rsidRPr="00BE6935">
        <w:rPr>
          <w:rFonts w:ascii="Palatino Linotype" w:hAnsi="Palatino Linotype" w:cs="Bookman Old Style"/>
          <w:szCs w:val="26"/>
          <w:lang w:val="es-ES_tradnl"/>
        </w:rPr>
        <w:t xml:space="preserve">La que presenten los particulares a los sujetos obligados, de conformidad con lo dispuesto por las leyes o los tratados internacionales.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Times"/>
          <w:szCs w:val="24"/>
          <w:lang w:val="es-ES_tradnl"/>
        </w:rPr>
      </w:pPr>
      <w:r w:rsidRPr="00BE6935">
        <w:rPr>
          <w:rFonts w:ascii="Palatino Linotype" w:hAnsi="Palatino Linotype" w:cs="Bookman Old Style"/>
          <w:szCs w:val="26"/>
          <w:lang w:val="es-ES_tradnl"/>
        </w:rPr>
        <w:t xml:space="preserve">La información confidencial no estará sujeta a temporalidad alguna y sólo podrán tener acceso a ella los titulares de la misma, sus representantes y los servidores públicos facultados para ello. </w:t>
      </w:r>
    </w:p>
    <w:p w:rsidR="00985973" w:rsidRPr="00BE6935" w:rsidRDefault="00985973" w:rsidP="003D7273">
      <w:pPr>
        <w:widowControl w:val="0"/>
        <w:autoSpaceDE w:val="0"/>
        <w:autoSpaceDN w:val="0"/>
        <w:adjustRightInd w:val="0"/>
        <w:spacing w:before="240" w:after="0" w:line="276" w:lineRule="auto"/>
        <w:ind w:left="709" w:right="333"/>
        <w:jc w:val="both"/>
        <w:rPr>
          <w:rFonts w:ascii="Palatino Linotype" w:hAnsi="Palatino Linotype" w:cs="Bookman Old Style"/>
          <w:szCs w:val="26"/>
          <w:lang w:val="es-ES_tradnl"/>
        </w:rPr>
      </w:pPr>
      <w:r w:rsidRPr="00BE6935">
        <w:rPr>
          <w:rFonts w:ascii="Palatino Linotype" w:hAnsi="Palatino Linotype" w:cs="Bookman Old Style"/>
          <w:szCs w:val="26"/>
          <w:lang w:val="es-ES_tradnl"/>
        </w:rPr>
        <w:t xml:space="preserve">No se considerará confidencial la información que se encuentre en los registros públicos o en fuentes de acceso público, ni tampoco la que sea considerada por la presente ley como información pública. </w:t>
      </w:r>
    </w:p>
    <w:p w:rsidR="00D5778A" w:rsidRPr="00BE6935" w:rsidRDefault="00D5778A" w:rsidP="00D5778A">
      <w:pPr>
        <w:widowControl w:val="0"/>
        <w:autoSpaceDE w:val="0"/>
        <w:autoSpaceDN w:val="0"/>
        <w:adjustRightInd w:val="0"/>
        <w:spacing w:after="0" w:line="240" w:lineRule="auto"/>
        <w:ind w:left="709" w:right="333"/>
        <w:jc w:val="both"/>
        <w:rPr>
          <w:rFonts w:ascii="Palatino Linotype" w:hAnsi="Palatino Linotype" w:cs="Times"/>
          <w:szCs w:val="24"/>
          <w:lang w:val="es-ES_tradnl"/>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85973" w:rsidRPr="00BE6935" w:rsidRDefault="00985973" w:rsidP="001B44E8">
      <w:pPr>
        <w:pStyle w:val="Prrafodelista"/>
        <w:spacing w:after="0" w:line="240" w:lineRule="auto"/>
        <w:ind w:left="360"/>
        <w:jc w:val="both"/>
        <w:rPr>
          <w:rFonts w:ascii="Palatino Linotype" w:hAnsi="Palatino Linotype" w:cs="Arial"/>
          <w:sz w:val="18"/>
          <w:szCs w:val="24"/>
        </w:rPr>
      </w:pPr>
    </w:p>
    <w:p w:rsidR="001B44E8" w:rsidRPr="00BE6935" w:rsidRDefault="00985973" w:rsidP="001B44E8">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consecuencia de lo anterior, el </w:t>
      </w:r>
      <w:r w:rsidR="003D7273" w:rsidRPr="00BE6935">
        <w:rPr>
          <w:rFonts w:ascii="Palatino Linotype" w:hAnsi="Palatino Linotype" w:cs="Arial"/>
          <w:sz w:val="24"/>
          <w:szCs w:val="24"/>
        </w:rPr>
        <w:t xml:space="preserve">Sujeto Obligado </w:t>
      </w:r>
      <w:r w:rsidRPr="00BE6935">
        <w:rPr>
          <w:rFonts w:ascii="Palatino Linotype" w:hAnsi="Palatino Linotype" w:cs="Arial"/>
          <w:sz w:val="24"/>
          <w:szCs w:val="24"/>
        </w:rPr>
        <w:t>debe identificar claramente el tipo de información y hacer un juicio de subsunción o encaje</w:t>
      </w:r>
      <w:r w:rsidRPr="00BE6935">
        <w:rPr>
          <w:rStyle w:val="Refdenotaalpie"/>
          <w:rFonts w:ascii="Palatino Linotype" w:hAnsi="Palatino Linotype" w:cs="Arial"/>
          <w:sz w:val="24"/>
          <w:szCs w:val="24"/>
        </w:rPr>
        <w:footnoteReference w:id="3"/>
      </w:r>
      <w:r w:rsidRPr="00BE6935">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1B44E8" w:rsidRPr="00BE6935" w:rsidRDefault="001B44E8" w:rsidP="001B44E8">
      <w:pPr>
        <w:pStyle w:val="Prrafodelista"/>
        <w:spacing w:after="0" w:line="240" w:lineRule="auto"/>
        <w:ind w:left="360"/>
        <w:jc w:val="both"/>
        <w:rPr>
          <w:rFonts w:ascii="Palatino Linotype" w:hAnsi="Palatino Linotype" w:cs="Arial"/>
          <w:sz w:val="20"/>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Una vez hecho lo anterior, se remite la información al Titular de la Unidad de Transparencia, con el acuerdo de clasificación correspondiente, para que sea sometido al conocimiento del Comité de Transparencia.</w:t>
      </w:r>
    </w:p>
    <w:p w:rsidR="00985973" w:rsidRPr="00BE6935" w:rsidRDefault="00985973" w:rsidP="003468C7">
      <w:pPr>
        <w:pStyle w:val="Ttulo1"/>
        <w:numPr>
          <w:ilvl w:val="0"/>
          <w:numId w:val="38"/>
        </w:numPr>
        <w:rPr>
          <w:rFonts w:ascii="Palatino Linotype" w:hAnsi="Palatino Linotype" w:cs="Arial"/>
          <w:b/>
          <w:color w:val="auto"/>
          <w:sz w:val="24"/>
        </w:rPr>
      </w:pPr>
      <w:bookmarkStart w:id="9" w:name="_Toc485899340"/>
      <w:bookmarkStart w:id="10" w:name="_Toc522528216"/>
      <w:r w:rsidRPr="00BE6935">
        <w:rPr>
          <w:rFonts w:ascii="Palatino Linotype" w:hAnsi="Palatino Linotype" w:cs="Arial"/>
          <w:b/>
          <w:color w:val="auto"/>
          <w:sz w:val="24"/>
        </w:rPr>
        <w:t>Excepciones a los supuestos de clasificación de la información como reservada</w:t>
      </w:r>
      <w:bookmarkEnd w:id="9"/>
      <w:bookmarkEnd w:id="10"/>
    </w:p>
    <w:p w:rsidR="004F01EC" w:rsidRPr="00BE6935" w:rsidRDefault="00985973" w:rsidP="004F01EC">
      <w:pPr>
        <w:pStyle w:val="NormalWeb"/>
        <w:numPr>
          <w:ilvl w:val="0"/>
          <w:numId w:val="1"/>
        </w:numPr>
        <w:spacing w:after="0" w:afterAutospacing="0" w:line="360" w:lineRule="auto"/>
        <w:jc w:val="both"/>
        <w:rPr>
          <w:rFonts w:ascii="Palatino Linotype" w:hAnsi="Palatino Linotype"/>
          <w:szCs w:val="20"/>
        </w:rPr>
      </w:pPr>
      <w:r w:rsidRPr="00BE6935">
        <w:rPr>
          <w:rFonts w:ascii="Palatino Linotype" w:hAnsi="Palatino Linotype"/>
          <w:szCs w:val="20"/>
        </w:rPr>
        <w:t xml:space="preserve">En todos aquellos casos en los que se pretende adoptar una clasificación de la información como reservada, hay que considerar lo señalado por los artículos 5, </w:t>
      </w:r>
      <w:r w:rsidRPr="00BE6935">
        <w:rPr>
          <w:rFonts w:ascii="Palatino Linotype" w:hAnsi="Palatino Linotype"/>
          <w:szCs w:val="20"/>
        </w:rPr>
        <w:lastRenderedPageBreak/>
        <w:t xml:space="preserve">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r w:rsidR="003468C7" w:rsidRPr="00BE6935">
        <w:rPr>
          <w:rFonts w:ascii="Palatino Linotype" w:hAnsi="Palatino Linotype"/>
          <w:szCs w:val="20"/>
        </w:rPr>
        <w:t>lesa</w:t>
      </w:r>
      <w:r w:rsidRPr="00BE6935">
        <w:rPr>
          <w:rFonts w:ascii="Palatino Linotype" w:hAnsi="Palatino Linotype"/>
          <w:szCs w:val="20"/>
        </w:rPr>
        <w:t xml:space="preserve"> huma</w:t>
      </w:r>
      <w:r w:rsidR="004F01EC" w:rsidRPr="00BE6935">
        <w:rPr>
          <w:rFonts w:ascii="Palatino Linotype" w:hAnsi="Palatino Linotype"/>
          <w:szCs w:val="20"/>
        </w:rPr>
        <w:t>nidad y los actos de corrupción.</w:t>
      </w:r>
    </w:p>
    <w:p w:rsidR="004F01EC" w:rsidRPr="00BE6935" w:rsidRDefault="004F01EC" w:rsidP="004F01EC">
      <w:pPr>
        <w:pStyle w:val="NormalWeb"/>
        <w:spacing w:before="0" w:beforeAutospacing="0" w:after="0" w:afterAutospacing="0"/>
        <w:ind w:left="360"/>
        <w:jc w:val="both"/>
        <w:rPr>
          <w:rFonts w:ascii="Palatino Linotype" w:hAnsi="Palatino Linotype"/>
          <w:sz w:val="20"/>
          <w:szCs w:val="20"/>
        </w:rPr>
      </w:pPr>
    </w:p>
    <w:p w:rsidR="004F01EC" w:rsidRPr="00BE6935" w:rsidRDefault="004F01EC" w:rsidP="004F01EC">
      <w:pPr>
        <w:pStyle w:val="NormalWeb"/>
        <w:numPr>
          <w:ilvl w:val="0"/>
          <w:numId w:val="1"/>
        </w:numPr>
        <w:spacing w:before="0" w:beforeAutospacing="0" w:after="0" w:afterAutospacing="0" w:line="360" w:lineRule="auto"/>
        <w:jc w:val="both"/>
        <w:rPr>
          <w:rFonts w:ascii="Palatino Linotype" w:hAnsi="Palatino Linotype"/>
          <w:szCs w:val="20"/>
        </w:rPr>
      </w:pPr>
      <w:r w:rsidRPr="00BE6935">
        <w:rPr>
          <w:rFonts w:ascii="Palatino Linotype" w:hAnsi="Palatino Linotype"/>
          <w:szCs w:val="20"/>
        </w:rPr>
        <w:t>E</w:t>
      </w:r>
      <w:r w:rsidR="00985973" w:rsidRPr="00BE6935">
        <w:rPr>
          <w:rFonts w:ascii="Palatino Linotype" w:hAnsi="Palatino Linotype"/>
          <w:szCs w:val="20"/>
        </w:rPr>
        <w:t xml:space="preserv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w:t>
      </w:r>
    </w:p>
    <w:p w:rsidR="004F01EC" w:rsidRPr="00BE6935" w:rsidRDefault="004F01EC" w:rsidP="004F01EC">
      <w:pPr>
        <w:pStyle w:val="Prrafodelista"/>
        <w:spacing w:after="0" w:line="240" w:lineRule="auto"/>
        <w:rPr>
          <w:rFonts w:ascii="Palatino Linotype" w:hAnsi="Palatino Linotype"/>
          <w:sz w:val="32"/>
          <w:szCs w:val="20"/>
        </w:rPr>
      </w:pPr>
    </w:p>
    <w:p w:rsidR="00985973" w:rsidRPr="00BE6935" w:rsidRDefault="00985973" w:rsidP="004F01EC">
      <w:pPr>
        <w:pStyle w:val="NormalWeb"/>
        <w:numPr>
          <w:ilvl w:val="0"/>
          <w:numId w:val="1"/>
        </w:numPr>
        <w:spacing w:before="0" w:beforeAutospacing="0" w:line="360" w:lineRule="auto"/>
        <w:jc w:val="both"/>
        <w:rPr>
          <w:rFonts w:ascii="Palatino Linotype" w:hAnsi="Palatino Linotype"/>
          <w:szCs w:val="20"/>
        </w:rPr>
      </w:pPr>
      <w:r w:rsidRPr="00BE6935">
        <w:rPr>
          <w:rFonts w:ascii="Palatino Linotype" w:hAnsi="Palatino Linotype"/>
          <w:szCs w:val="20"/>
        </w:rPr>
        <w:t>De ser el caso que la información que se pretende reservar corresponde a cualquiera de estos supuestos, no es posible clasificarla como reservada.</w:t>
      </w:r>
    </w:p>
    <w:p w:rsidR="00985973" w:rsidRPr="00BE6935" w:rsidRDefault="00985973" w:rsidP="003468C7">
      <w:pPr>
        <w:pStyle w:val="Ttulo1"/>
        <w:numPr>
          <w:ilvl w:val="0"/>
          <w:numId w:val="38"/>
        </w:numPr>
        <w:spacing w:after="240"/>
        <w:rPr>
          <w:rFonts w:ascii="Palatino Linotype" w:hAnsi="Palatino Linotype" w:cs="Arial"/>
          <w:b/>
          <w:color w:val="auto"/>
          <w:sz w:val="24"/>
        </w:rPr>
      </w:pPr>
      <w:bookmarkStart w:id="11" w:name="_Toc485899341"/>
      <w:bookmarkStart w:id="12" w:name="_Toc522528217"/>
      <w:r w:rsidRPr="00BE6935">
        <w:rPr>
          <w:rFonts w:ascii="Palatino Linotype" w:hAnsi="Palatino Linotype" w:cs="Arial"/>
          <w:b/>
          <w:color w:val="auto"/>
          <w:sz w:val="24"/>
        </w:rPr>
        <w:t>La intervención del Comité de Transparencia.</w:t>
      </w:r>
      <w:bookmarkEnd w:id="11"/>
      <w:bookmarkEnd w:id="12"/>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3" w:name="_Toc485899342"/>
      <w:bookmarkStart w:id="14" w:name="_Toc522528218"/>
      <w:r w:rsidRPr="00BE6935">
        <w:rPr>
          <w:rFonts w:ascii="Palatino Linotype" w:hAnsi="Palatino Linotype" w:cs="Arial"/>
          <w:b/>
          <w:color w:val="auto"/>
          <w:sz w:val="24"/>
        </w:rPr>
        <w:t>Formalidades para emitir el acuerdo de clasificación.</w:t>
      </w:r>
      <w:bookmarkEnd w:id="13"/>
      <w:bookmarkEnd w:id="14"/>
    </w:p>
    <w:p w:rsidR="00985973" w:rsidRPr="00BE6935" w:rsidRDefault="00985973" w:rsidP="003468C7">
      <w:pPr>
        <w:pStyle w:val="Prrafodelista"/>
        <w:spacing w:after="0" w:line="240" w:lineRule="auto"/>
        <w:ind w:left="360"/>
        <w:jc w:val="both"/>
        <w:rPr>
          <w:rFonts w:ascii="Palatino Linotype" w:hAnsi="Palatino Linotype" w:cs="Arial"/>
          <w:sz w:val="24"/>
          <w:szCs w:val="24"/>
        </w:rPr>
      </w:pPr>
    </w:p>
    <w:p w:rsidR="00985973" w:rsidRPr="00BE6935" w:rsidRDefault="00985973" w:rsidP="007C5739">
      <w:pPr>
        <w:pStyle w:val="Prrafodelista"/>
        <w:numPr>
          <w:ilvl w:val="0"/>
          <w:numId w:val="1"/>
        </w:numPr>
        <w:spacing w:after="0" w:line="360" w:lineRule="auto"/>
        <w:jc w:val="both"/>
        <w:rPr>
          <w:rFonts w:ascii="Palatino Linotype" w:eastAsia="Times New Roman" w:hAnsi="Palatino Linotype" w:cs="Times New Roman"/>
          <w:sz w:val="24"/>
          <w:szCs w:val="24"/>
          <w:lang w:val="es-ES_tradnl" w:eastAsia="es-ES_tradnl"/>
        </w:rPr>
      </w:pPr>
      <w:r w:rsidRPr="00BE6935">
        <w:rPr>
          <w:rFonts w:ascii="Palatino Linotype" w:hAnsi="Palatino Linotype" w:cs="Arial"/>
          <w:sz w:val="24"/>
          <w:szCs w:val="24"/>
        </w:rPr>
        <w:t xml:space="preserve">El Comité de Transparencia, según lo dispuesto en los artículos 128 y 103 de la Ley Estatal y de la Ley General, respectivamente, y </w:t>
      </w:r>
      <w:r w:rsidRPr="00BE6935">
        <w:rPr>
          <w:rFonts w:ascii="Palatino Linotype" w:hAnsi="Palatino Linotype"/>
          <w:sz w:val="24"/>
          <w:szCs w:val="24"/>
        </w:rPr>
        <w:t xml:space="preserve">la fracción III del numeral Segundo de los </w:t>
      </w:r>
      <w:r w:rsidRPr="00BE6935">
        <w:rPr>
          <w:rFonts w:ascii="Palatino Linotype" w:hAnsi="Palatino Linotype" w:cs="Arial"/>
          <w:sz w:val="24"/>
          <w:szCs w:val="24"/>
        </w:rPr>
        <w:t xml:space="preserve">Lineamientos generales en materia de clasificación y desclasificación de la información, así como para la elaboración de versiones </w:t>
      </w:r>
      <w:r w:rsidRPr="00BE6935">
        <w:rPr>
          <w:rFonts w:ascii="Palatino Linotype" w:hAnsi="Palatino Linotype" w:cs="Arial"/>
          <w:sz w:val="24"/>
          <w:szCs w:val="24"/>
        </w:rPr>
        <w:lastRenderedPageBreak/>
        <w:t>públicas, en adelante los Lineamientos Generales,</w:t>
      </w:r>
      <w:r w:rsidRPr="00BE6935">
        <w:rPr>
          <w:rFonts w:ascii="Palatino Linotype" w:hAnsi="Palatino Linotype"/>
          <w:sz w:val="24"/>
          <w:szCs w:val="24"/>
        </w:rPr>
        <w:t xml:space="preserve"> </w:t>
      </w:r>
      <w:r w:rsidRPr="00BE6935">
        <w:rPr>
          <w:rFonts w:ascii="Palatino Linotype" w:hAnsi="Palatino Linotype" w:cs="Arial"/>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85973" w:rsidRPr="00BE6935" w:rsidRDefault="00985973" w:rsidP="007C5739">
      <w:pPr>
        <w:pStyle w:val="Prrafodelista"/>
        <w:spacing w:after="0" w:line="240" w:lineRule="auto"/>
        <w:ind w:left="360"/>
        <w:jc w:val="both"/>
        <w:rPr>
          <w:rFonts w:ascii="Palatino Linotype" w:hAnsi="Palatino Linotype" w:cs="Arial"/>
          <w:sz w:val="12"/>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w:t>
      </w:r>
      <w:r w:rsidR="00B25F2D" w:rsidRPr="00BE6935">
        <w:rPr>
          <w:rFonts w:ascii="Palatino Linotype" w:hAnsi="Palatino Linotype" w:cs="Arial"/>
          <w:sz w:val="24"/>
          <w:szCs w:val="24"/>
        </w:rPr>
        <w:t xml:space="preserve">Responsable </w:t>
      </w:r>
      <w:r w:rsidRPr="00BE6935">
        <w:rPr>
          <w:rFonts w:ascii="Palatino Linotype" w:hAnsi="Palatino Linotype" w:cs="Arial"/>
          <w:sz w:val="24"/>
          <w:szCs w:val="24"/>
        </w:rPr>
        <w:t xml:space="preserve">del </w:t>
      </w:r>
      <w:r w:rsidR="00B25F2D" w:rsidRPr="00BE6935">
        <w:rPr>
          <w:rFonts w:ascii="Palatino Linotype" w:hAnsi="Palatino Linotype" w:cs="Arial"/>
          <w:sz w:val="24"/>
          <w:szCs w:val="24"/>
        </w:rPr>
        <w:t xml:space="preserve">Área Coordinadora </w:t>
      </w:r>
      <w:r w:rsidRPr="00BE6935">
        <w:rPr>
          <w:rFonts w:ascii="Palatino Linotype" w:hAnsi="Palatino Linotype" w:cs="Arial"/>
          <w:sz w:val="24"/>
          <w:szCs w:val="24"/>
        </w:rPr>
        <w:t xml:space="preserve">de </w:t>
      </w:r>
      <w:r w:rsidR="00B25F2D" w:rsidRPr="00BE6935">
        <w:rPr>
          <w:rFonts w:ascii="Palatino Linotype" w:hAnsi="Palatino Linotype" w:cs="Arial"/>
          <w:sz w:val="24"/>
          <w:szCs w:val="24"/>
        </w:rPr>
        <w:t xml:space="preserve">Archivos </w:t>
      </w:r>
      <w:r w:rsidRPr="00BE6935">
        <w:rPr>
          <w:rFonts w:ascii="Palatino Linotype" w:hAnsi="Palatino Linotype" w:cs="Arial"/>
          <w:sz w:val="24"/>
          <w:szCs w:val="24"/>
        </w:rPr>
        <w:t xml:space="preserve">y el </w:t>
      </w:r>
      <w:r w:rsidR="003468C7" w:rsidRPr="00BE6935">
        <w:rPr>
          <w:rFonts w:ascii="Palatino Linotype" w:hAnsi="Palatino Linotype" w:cs="Arial"/>
          <w:sz w:val="24"/>
          <w:szCs w:val="24"/>
        </w:rPr>
        <w:t xml:space="preserve">Titular </w:t>
      </w:r>
      <w:r w:rsidRPr="00BE6935">
        <w:rPr>
          <w:rFonts w:ascii="Palatino Linotype" w:hAnsi="Palatino Linotype" w:cs="Arial"/>
          <w:sz w:val="24"/>
          <w:szCs w:val="24"/>
        </w:rPr>
        <w:t xml:space="preserve">del </w:t>
      </w:r>
      <w:r w:rsidR="003468C7" w:rsidRPr="00BE6935">
        <w:rPr>
          <w:rFonts w:ascii="Palatino Linotype" w:hAnsi="Palatino Linotype" w:cs="Arial"/>
          <w:sz w:val="24"/>
          <w:szCs w:val="24"/>
        </w:rPr>
        <w:t xml:space="preserve">Órgano Interno </w:t>
      </w:r>
      <w:r w:rsidRPr="00BE6935">
        <w:rPr>
          <w:rFonts w:ascii="Palatino Linotype" w:hAnsi="Palatino Linotype" w:cs="Arial"/>
          <w:sz w:val="24"/>
          <w:szCs w:val="24"/>
        </w:rPr>
        <w:t xml:space="preserve">de </w:t>
      </w:r>
      <w:r w:rsidR="003468C7" w:rsidRPr="00BE6935">
        <w:rPr>
          <w:rFonts w:ascii="Palatino Linotype" w:hAnsi="Palatino Linotype" w:cs="Arial"/>
          <w:sz w:val="24"/>
          <w:szCs w:val="24"/>
        </w:rPr>
        <w:t>Control</w:t>
      </w:r>
      <w:r w:rsidRPr="00BE6935">
        <w:rPr>
          <w:rFonts w:ascii="Palatino Linotype" w:hAnsi="Palatino Linotype" w:cs="Arial"/>
          <w:sz w:val="24"/>
          <w:szCs w:val="24"/>
        </w:rPr>
        <w:t xml:space="preserve">, integrado siempre por un número impar y que no debe de existir dependencia jerárquica </w:t>
      </w:r>
      <w:r w:rsidR="004E0267" w:rsidRPr="00BE6935">
        <w:rPr>
          <w:rFonts w:ascii="Palatino Linotype" w:hAnsi="Palatino Linotype" w:cs="Arial"/>
          <w:sz w:val="24"/>
          <w:szCs w:val="24"/>
        </w:rPr>
        <w:t>entre sus integrantes; c</w:t>
      </w:r>
      <w:r w:rsidRPr="00BE6935">
        <w:rPr>
          <w:rFonts w:ascii="Palatino Linotype" w:hAnsi="Palatino Linotype" w:cs="Arial"/>
          <w:sz w:val="24"/>
          <w:szCs w:val="24"/>
        </w:rPr>
        <w:t>ualquier otra composición del Comité puede generar vicios de legalidad de origen en el acto que restringe un derecho humano.</w:t>
      </w:r>
    </w:p>
    <w:p w:rsidR="004E0267" w:rsidRPr="00BE6935" w:rsidRDefault="004E0267" w:rsidP="004E0267">
      <w:pPr>
        <w:pStyle w:val="Prrafodelista"/>
        <w:spacing w:after="0"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w:t>
      </w:r>
      <w:r w:rsidRPr="00BE6935">
        <w:rPr>
          <w:rFonts w:ascii="Palatino Linotype" w:hAnsi="Palatino Linotype"/>
          <w:sz w:val="24"/>
          <w:szCs w:val="24"/>
        </w:rPr>
        <w:lastRenderedPageBreak/>
        <w:t xml:space="preserve">en las sesiones, se insiste, a partir de las decisiones adoptadas previamente por los titulares de áreas y que son sujetas a control, en primera instancia, por el Comité de Transparencia. </w:t>
      </w: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5" w:name="_Toc485899343"/>
      <w:bookmarkStart w:id="16" w:name="_Toc522528219"/>
      <w:r w:rsidRPr="00BE6935">
        <w:rPr>
          <w:rFonts w:ascii="Palatino Linotype" w:hAnsi="Palatino Linotype" w:cs="Arial"/>
          <w:b/>
          <w:color w:val="auto"/>
          <w:sz w:val="24"/>
        </w:rPr>
        <w:t>Requisitos de fondo del acuerdo de clasificación</w:t>
      </w:r>
      <w:bookmarkEnd w:id="15"/>
      <w:bookmarkEnd w:id="16"/>
    </w:p>
    <w:p w:rsidR="00985973" w:rsidRPr="00BE6935" w:rsidRDefault="00985973" w:rsidP="004E0267">
      <w:pPr>
        <w:pStyle w:val="Prrafodelista"/>
        <w:numPr>
          <w:ilvl w:val="0"/>
          <w:numId w:val="1"/>
        </w:numPr>
        <w:spacing w:before="240" w:line="360" w:lineRule="auto"/>
        <w:jc w:val="both"/>
        <w:rPr>
          <w:rFonts w:ascii="Palatino Linotype" w:hAnsi="Palatino Linotype" w:cs="Arial"/>
          <w:sz w:val="24"/>
          <w:szCs w:val="24"/>
        </w:rPr>
      </w:pPr>
      <w:r w:rsidRPr="00BE6935">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w:t>
      </w:r>
      <w:r w:rsidR="004E0267" w:rsidRPr="00BE6935">
        <w:rPr>
          <w:rFonts w:ascii="Palatino Linotype" w:hAnsi="Palatino Linotype" w:cs="Arial"/>
          <w:sz w:val="24"/>
          <w:szCs w:val="24"/>
        </w:rPr>
        <w:t>cumplir con dicha acreditación, e</w:t>
      </w:r>
      <w:r w:rsidRPr="00BE6935">
        <w:rPr>
          <w:rFonts w:ascii="Palatino Linotype" w:hAnsi="Palatino Linotype" w:cs="Arial"/>
          <w:sz w:val="24"/>
          <w:szCs w:val="24"/>
        </w:rPr>
        <w:t xml:space="preserv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F01EC" w:rsidRPr="00BE6935" w:rsidRDefault="004F01EC" w:rsidP="004F01EC">
      <w:pPr>
        <w:pStyle w:val="Prrafodelista"/>
        <w:spacing w:before="240" w:line="360" w:lineRule="auto"/>
        <w:ind w:left="360"/>
        <w:jc w:val="both"/>
        <w:rPr>
          <w:rFonts w:ascii="Palatino Linotype" w:hAnsi="Palatino Linotype" w:cs="Arial"/>
          <w:sz w:val="24"/>
          <w:szCs w:val="24"/>
        </w:rPr>
      </w:pPr>
    </w:p>
    <w:p w:rsidR="00985973" w:rsidRPr="00BE6935" w:rsidRDefault="00985973" w:rsidP="00CC3138">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5973" w:rsidRPr="00BE6935" w:rsidRDefault="00985973" w:rsidP="00CC3138">
      <w:pPr>
        <w:shd w:val="clear" w:color="auto" w:fill="FFFFFF"/>
        <w:spacing w:after="0" w:line="240" w:lineRule="auto"/>
        <w:contextualSpacing/>
        <w:jc w:val="both"/>
        <w:rPr>
          <w:rFonts w:ascii="Palatino Linotype" w:eastAsia="Times New Roman" w:hAnsi="Palatino Linotype" w:cs="Arial"/>
          <w:sz w:val="18"/>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hAnsi="Palatino Linotype"/>
          <w:sz w:val="24"/>
          <w:szCs w:val="24"/>
        </w:rPr>
        <w:lastRenderedPageBreak/>
        <w:t>Han</w:t>
      </w:r>
      <w:r w:rsidRPr="00BE6935">
        <w:rPr>
          <w:rFonts w:ascii="Palatino Linotype" w:eastAsia="Times New Roman" w:hAnsi="Palatino Linotype" w:cs="Arial"/>
          <w:sz w:val="24"/>
          <w:szCs w:val="24"/>
          <w:lang w:val="es-ES_tradnl"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6935">
        <w:rPr>
          <w:rStyle w:val="Refdenotaalpie"/>
          <w:rFonts w:ascii="Palatino Linotype" w:eastAsia="Times New Roman" w:hAnsi="Palatino Linotype" w:cs="Arial"/>
          <w:sz w:val="24"/>
          <w:szCs w:val="24"/>
          <w:lang w:val="es-ES_tradnl" w:eastAsia="es-MX"/>
        </w:rPr>
        <w:footnoteReference w:id="4"/>
      </w:r>
    </w:p>
    <w:p w:rsidR="00985973" w:rsidRPr="00BE6935" w:rsidRDefault="00985973" w:rsidP="00D5778A">
      <w:pPr>
        <w:shd w:val="clear" w:color="auto" w:fill="FFFFFF"/>
        <w:spacing w:after="0" w:line="240" w:lineRule="auto"/>
        <w:contextualSpacing/>
        <w:jc w:val="both"/>
        <w:rPr>
          <w:rFonts w:ascii="Palatino Linotype" w:eastAsia="Times New Roman" w:hAnsi="Palatino Linotype" w:cs="Arial"/>
          <w:sz w:val="24"/>
          <w:szCs w:val="24"/>
          <w:lang w:val="es-ES_tradnl" w:eastAsia="es-MX"/>
        </w:rPr>
      </w:pPr>
    </w:p>
    <w:p w:rsidR="00985973" w:rsidRPr="00BE6935" w:rsidRDefault="00985973" w:rsidP="001D2906">
      <w:pPr>
        <w:pStyle w:val="Prrafodelista"/>
        <w:numPr>
          <w:ilvl w:val="0"/>
          <w:numId w:val="1"/>
        </w:numPr>
        <w:shd w:val="clear" w:color="auto" w:fill="FFFFFF"/>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985973" w:rsidRPr="00BE6935" w:rsidRDefault="00985973" w:rsidP="007C5739">
      <w:pPr>
        <w:spacing w:after="0" w:line="240" w:lineRule="auto"/>
        <w:ind w:left="567" w:right="618"/>
        <w:contextualSpacing/>
        <w:jc w:val="both"/>
        <w:rPr>
          <w:rFonts w:ascii="Palatino Linotype" w:eastAsiaTheme="minorEastAsia" w:hAnsi="Palatino Linotype" w:cs="Arial"/>
          <w:sz w:val="10"/>
          <w:szCs w:val="24"/>
          <w:lang w:val="es-ES_tradnl" w:eastAsia="es-ES"/>
        </w:rPr>
      </w:pP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b/>
          <w:szCs w:val="24"/>
          <w:lang w:val="es-ES_tradnl" w:eastAsia="es-ES"/>
        </w:rPr>
        <w:t>FUNDAMENTACIÓN Y MOTIVACIÓN.</w:t>
      </w:r>
      <w:r w:rsidRPr="00BE6935">
        <w:rPr>
          <w:rFonts w:ascii="Palatino Linotype" w:eastAsiaTheme="minorEastAsia" w:hAnsi="Palatino Linotype" w:cs="Arial"/>
          <w:szCs w:val="24"/>
          <w:lang w:val="es-ES_tradnl" w:eastAsia="es-ES"/>
        </w:rPr>
        <w:t xml:space="preserve"> La </w:t>
      </w:r>
      <w:r w:rsidRPr="00BE6935">
        <w:rPr>
          <w:rFonts w:ascii="Palatino Linotype" w:eastAsiaTheme="minorEastAsia" w:hAnsi="Palatino Linotype" w:cs="Arial"/>
          <w:szCs w:val="24"/>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BE6935">
        <w:rPr>
          <w:rFonts w:ascii="Palatino Linotype" w:eastAsiaTheme="minorEastAsia" w:hAnsi="Palatino Linotype" w:cs="Arial"/>
          <w:szCs w:val="24"/>
          <w:u w:val="single"/>
          <w:lang w:val="es-ES_tradnl" w:eastAsia="es-ES"/>
        </w:rPr>
        <w:lastRenderedPageBreak/>
        <w:t>encuadra en el supuesto previsto por la norma legal invocada como fundamento</w:t>
      </w:r>
      <w:r w:rsidRPr="00BE6935">
        <w:rPr>
          <w:rFonts w:ascii="Palatino Linotype" w:eastAsiaTheme="minorEastAsia" w:hAnsi="Palatino Linotype" w:cs="Arial"/>
          <w:szCs w:val="24"/>
          <w:lang w:val="es-ES_tradnl" w:eastAsia="es-ES"/>
        </w:rPr>
        <w:t>.</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Cs w:val="24"/>
          <w:lang w:val="es-ES_tradnl" w:eastAsia="es-ES"/>
        </w:rPr>
      </w:pPr>
      <w:r w:rsidRPr="00BE6935">
        <w:rPr>
          <w:rFonts w:ascii="Palatino Linotype" w:eastAsiaTheme="minorEastAsia" w:hAnsi="Palatino Linotype" w:cs="Arial"/>
          <w:szCs w:val="24"/>
          <w:lang w:val="es-ES_tradnl" w:eastAsia="es-ES"/>
        </w:rPr>
        <w:t>SEGUNDO TRIBUNAL COLEGIADO DEL SEXTO CIRCUITO.</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directo 194/88. Bufete Industrial Construcciones, S.A. de C.V. 28 de junio de 1988. Unanimidad de votos. Ponente: Gustavo Calvillo Rangel. Secretario: Jorge Alberto González Álvarez.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Revisión fiscal 103/88. Instituto Mexicano del Seguro Social. 18 de octubre de 1988. Unanimidad de votos. Ponente: Arnoldo Nájera Virgen. Secretario: Alejandro Esponda Rincón.</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en revisión 333/88. Adilia Romero. 26 de octubre de 1988. Unanimidad de votos. Ponente: Arnoldo Nájera Virgen. Secretario: Enrique Crispín Campos Ramírez.</w:t>
      </w:r>
    </w:p>
    <w:p w:rsidR="00985973" w:rsidRPr="00BE6935" w:rsidRDefault="00985973" w:rsidP="00985973">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en revisión 597/95. Emilio Maurer Bretón. 15 de noviembre de 1995. Unanimidad de votos. Ponente: Clementina Ramírez Moguel Goyzueta. Secretario: Gonzalo Carrera Molina.</w:t>
      </w:r>
    </w:p>
    <w:p w:rsidR="00985973" w:rsidRPr="00BE6935" w:rsidRDefault="00985973" w:rsidP="00CA4355">
      <w:pPr>
        <w:spacing w:after="0" w:line="360" w:lineRule="auto"/>
        <w:ind w:left="851" w:right="618"/>
        <w:contextualSpacing/>
        <w:jc w:val="both"/>
        <w:rPr>
          <w:rFonts w:ascii="Palatino Linotype" w:eastAsiaTheme="minorEastAsia" w:hAnsi="Palatino Linotype" w:cs="Arial"/>
          <w:sz w:val="20"/>
          <w:szCs w:val="24"/>
          <w:lang w:val="es-ES_tradnl" w:eastAsia="es-ES"/>
        </w:rPr>
      </w:pPr>
      <w:r w:rsidRPr="00BE6935">
        <w:rPr>
          <w:rFonts w:ascii="Palatino Linotype" w:eastAsiaTheme="minorEastAsia" w:hAnsi="Palatino Linotype" w:cs="Arial"/>
          <w:sz w:val="20"/>
          <w:szCs w:val="24"/>
          <w:lang w:val="es-ES_tradnl" w:eastAsia="es-ES"/>
        </w:rPr>
        <w:t>Amparo directo 7/96. Pedro Vicente López Miro. 21 de febrero de 1996. Unanimidad de votos. Ponente: María Eugenia Estela Martínez Cardiel. Secretario: Enrique Baigts Muñoz.</w:t>
      </w: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expresan las </w:t>
      </w:r>
      <w:r w:rsidRPr="00BE6935">
        <w:rPr>
          <w:rFonts w:ascii="Palatino Linotype" w:hAnsi="Palatino Linotype"/>
          <w:sz w:val="24"/>
          <w:szCs w:val="24"/>
        </w:rPr>
        <w:t>razones</w:t>
      </w:r>
      <w:r w:rsidRPr="00BE6935">
        <w:rPr>
          <w:rFonts w:ascii="Palatino Linotype" w:eastAsia="Times New Roman" w:hAnsi="Palatino Linotype" w:cs="Arial"/>
          <w:sz w:val="24"/>
          <w:szCs w:val="24"/>
          <w:lang w:val="es-ES_tradnl" w:eastAsia="es-MX"/>
        </w:rPr>
        <w:t>, motivos o circunstancias que tomó en cuenta la autoridad para adecuar el hecho a los fundamentos de derecho.</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 xml:space="preserve">En </w:t>
      </w:r>
      <w:r w:rsidRPr="00BE6935">
        <w:rPr>
          <w:rFonts w:ascii="Palatino Linotype" w:hAnsi="Palatino Linotype"/>
          <w:sz w:val="24"/>
          <w:szCs w:val="24"/>
        </w:rPr>
        <w:t>consecuencia</w:t>
      </w:r>
      <w:r w:rsidRPr="00BE6935">
        <w:rPr>
          <w:rFonts w:ascii="Palatino Linotype" w:eastAsia="Times New Roman" w:hAnsi="Palatino Linotype" w:cs="Arial"/>
          <w:sz w:val="24"/>
          <w:szCs w:val="24"/>
          <w:lang w:val="es-ES_tradnl" w:eastAsia="es-MX"/>
        </w:rPr>
        <w:t xml:space="preserve">, la fundamentación y motivación implica que, en el acto de autoridad, además de contenerse los supuestos jurídicos aplicables se expliquen claramente por qué a través de la utilización de la norma se emitió el acto. De </w:t>
      </w:r>
      <w:r w:rsidRPr="00BE6935">
        <w:rPr>
          <w:rFonts w:ascii="Palatino Linotype" w:eastAsia="Times New Roman" w:hAnsi="Palatino Linotype" w:cs="Arial"/>
          <w:sz w:val="24"/>
          <w:szCs w:val="24"/>
          <w:lang w:val="es-ES_tradnl" w:eastAsia="es-MX"/>
        </w:rPr>
        <w:lastRenderedPageBreak/>
        <w:t>este modo, la persona que se sienta afectada pueda impugnar la decisión, permitiéndole una real y auténtica defensa.</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85973" w:rsidRPr="00BE6935" w:rsidRDefault="00985973" w:rsidP="00CC3138">
      <w:pPr>
        <w:pStyle w:val="Prrafodelista"/>
        <w:spacing w:after="0" w:line="240" w:lineRule="auto"/>
        <w:ind w:left="360"/>
        <w:jc w:val="both"/>
        <w:rPr>
          <w:rFonts w:ascii="Palatino Linotype" w:eastAsia="Times New Roman" w:hAnsi="Palatino Linotype" w:cs="Arial"/>
          <w:sz w:val="24"/>
          <w:szCs w:val="24"/>
          <w:lang w:val="es-ES_tradnl" w:eastAsia="es-MX"/>
        </w:rPr>
      </w:pPr>
    </w:p>
    <w:p w:rsidR="00985973" w:rsidRPr="00BE6935" w:rsidRDefault="00985973" w:rsidP="00CC3138">
      <w:pPr>
        <w:pStyle w:val="Prrafodelista"/>
        <w:numPr>
          <w:ilvl w:val="0"/>
          <w:numId w:val="1"/>
        </w:numPr>
        <w:spacing w:after="0" w:line="360" w:lineRule="auto"/>
        <w:jc w:val="both"/>
        <w:rPr>
          <w:rFonts w:ascii="Palatino Linotype" w:eastAsia="Times New Roman" w:hAnsi="Palatino Linotype" w:cs="Arial"/>
          <w:sz w:val="24"/>
          <w:szCs w:val="24"/>
          <w:lang w:val="es-ES_tradnl" w:eastAsia="es-MX"/>
        </w:rPr>
      </w:pPr>
      <w:r w:rsidRPr="00BE6935">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E6935">
        <w:rPr>
          <w:rFonts w:ascii="Palatino Linotype" w:hAnsi="Palatino Linotype"/>
          <w:sz w:val="24"/>
          <w:szCs w:val="24"/>
        </w:rPr>
        <w:t xml:space="preserve"> </w:t>
      </w:r>
      <w:r w:rsidRPr="00BE6935">
        <w:rPr>
          <w:rFonts w:ascii="Palatino Linotype" w:eastAsia="Times New Roman" w:hAnsi="Palatino Linotype" w:cs="Arial"/>
          <w:sz w:val="24"/>
          <w:szCs w:val="24"/>
          <w:lang w:val="es-ES_tradnl" w:eastAsia="es-MX"/>
        </w:rPr>
        <w:t>datos personales</w:t>
      </w:r>
      <w:r w:rsidRPr="00BE6935">
        <w:rPr>
          <w:rStyle w:val="Refdenotaalpie"/>
          <w:rFonts w:ascii="Palatino Linotype" w:eastAsia="Times New Roman" w:hAnsi="Palatino Linotype" w:cs="Arial"/>
          <w:sz w:val="24"/>
          <w:szCs w:val="24"/>
          <w:lang w:val="es-ES_tradnl" w:eastAsia="es-MX"/>
        </w:rPr>
        <w:footnoteReference w:id="5"/>
      </w:r>
      <w:r w:rsidRPr="00BE6935">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BE6935">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BE6935">
        <w:rPr>
          <w:rFonts w:ascii="Palatino Linotype" w:eastAsia="Calibri" w:hAnsi="Palatino Linotype" w:cs="Arial"/>
          <w:sz w:val="24"/>
          <w:szCs w:val="24"/>
          <w:lang w:val="es-ES" w:eastAsia="es-MX"/>
        </w:rPr>
        <w:lastRenderedPageBreak/>
        <w:t xml:space="preserve">susceptibles de clasificarse como confidenciales mediante una versión pública que deje a la vista los datos que ofrezcan la información requerida.  </w:t>
      </w:r>
    </w:p>
    <w:p w:rsidR="00985973" w:rsidRPr="00BE6935" w:rsidRDefault="00985973" w:rsidP="00CC3138">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CC3138">
      <w:pPr>
        <w:pStyle w:val="Prrafodelista"/>
        <w:numPr>
          <w:ilvl w:val="0"/>
          <w:numId w:val="1"/>
        </w:numPr>
        <w:spacing w:after="0" w:line="360" w:lineRule="auto"/>
        <w:jc w:val="both"/>
        <w:rPr>
          <w:rFonts w:ascii="Palatino Linotype" w:eastAsia="Calibri" w:hAnsi="Palatino Linotype" w:cs="Arial"/>
          <w:sz w:val="24"/>
          <w:szCs w:val="24"/>
          <w:lang w:val="es-ES" w:eastAsia="es-MX"/>
        </w:rPr>
      </w:pPr>
      <w:r w:rsidRPr="00BE6935">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5778A" w:rsidRPr="00BE6935" w:rsidRDefault="00D5778A" w:rsidP="00D5778A">
      <w:pPr>
        <w:pStyle w:val="Prrafodelista"/>
        <w:spacing w:after="0" w:line="240" w:lineRule="auto"/>
        <w:ind w:left="360"/>
        <w:jc w:val="both"/>
        <w:rPr>
          <w:rFonts w:ascii="Palatino Linotype" w:eastAsia="Calibri" w:hAnsi="Palatino Linotype" w:cs="Arial"/>
          <w:sz w:val="24"/>
          <w:szCs w:val="24"/>
          <w:lang w:val="es-ES" w:eastAsia="es-MX"/>
        </w:rPr>
      </w:pPr>
    </w:p>
    <w:p w:rsidR="00985973" w:rsidRPr="00BE6935" w:rsidRDefault="00985973" w:rsidP="00985973">
      <w:pPr>
        <w:pStyle w:val="Ttulo2"/>
        <w:numPr>
          <w:ilvl w:val="0"/>
          <w:numId w:val="36"/>
        </w:numPr>
        <w:ind w:left="1134"/>
        <w:rPr>
          <w:rFonts w:ascii="Palatino Linotype" w:hAnsi="Palatino Linotype" w:cs="Arial"/>
          <w:b/>
          <w:color w:val="auto"/>
          <w:sz w:val="24"/>
        </w:rPr>
      </w:pPr>
      <w:bookmarkStart w:id="17" w:name="_Toc485899344"/>
      <w:bookmarkStart w:id="18" w:name="_Toc522528220"/>
      <w:r w:rsidRPr="00BE6935">
        <w:rPr>
          <w:rFonts w:ascii="Palatino Linotype" w:hAnsi="Palatino Linotype" w:cs="Arial"/>
          <w:b/>
          <w:color w:val="auto"/>
          <w:sz w:val="24"/>
        </w:rPr>
        <w:t>Condiciones especiales de la clasificación de la información como reservada</w:t>
      </w:r>
      <w:bookmarkEnd w:id="17"/>
      <w:bookmarkEnd w:id="18"/>
      <w:r w:rsidRPr="00BE6935">
        <w:rPr>
          <w:rFonts w:ascii="Palatino Linotype" w:hAnsi="Palatino Linotype" w:cs="Arial"/>
          <w:b/>
          <w:color w:val="auto"/>
          <w:sz w:val="24"/>
        </w:rPr>
        <w:t xml:space="preserve"> </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19" w:name="_Toc485899345"/>
      <w:bookmarkStart w:id="20" w:name="_Toc522528221"/>
      <w:r w:rsidRPr="00BE6935">
        <w:rPr>
          <w:rFonts w:ascii="Palatino Linotype" w:hAnsi="Palatino Linotype" w:cs="Arial"/>
          <w:b/>
          <w:color w:val="auto"/>
        </w:rPr>
        <w:t>La fundamentación específica</w:t>
      </w:r>
      <w:bookmarkEnd w:id="19"/>
      <w:bookmarkEnd w:id="20"/>
    </w:p>
    <w:p w:rsidR="00985973" w:rsidRPr="00BE6935" w:rsidRDefault="00985973" w:rsidP="00D5778A">
      <w:pPr>
        <w:pStyle w:val="Prrafodelista"/>
        <w:spacing w:line="240" w:lineRule="auto"/>
        <w:ind w:left="360"/>
        <w:jc w:val="both"/>
        <w:rPr>
          <w:rFonts w:ascii="Palatino Linotype" w:hAnsi="Palatino Linotype" w:cs="Arial"/>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cs="Arial"/>
          <w:sz w:val="24"/>
          <w:szCs w:val="24"/>
        </w:rPr>
      </w:pPr>
      <w:r w:rsidRPr="00BE6935">
        <w:rPr>
          <w:rFonts w:ascii="Palatino Linotype" w:hAnsi="Palatino Linotype" w:cs="Arial"/>
          <w:sz w:val="24"/>
          <w:szCs w:val="24"/>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Pr="00BE6935">
        <w:rPr>
          <w:rFonts w:ascii="Palatino Linotype" w:hAnsi="Palatino Linotype" w:cs="Arial"/>
          <w:sz w:val="24"/>
          <w:szCs w:val="24"/>
        </w:rPr>
        <w:lastRenderedPageBreak/>
        <w:t>autorreferencial en el que primero se dice algo, después se dice lo mismo y al final exactamente lo mismo, cambiando sólo el orden de las palabras.</w:t>
      </w:r>
    </w:p>
    <w:p w:rsidR="00985973" w:rsidRPr="00BE6935" w:rsidRDefault="00985973" w:rsidP="00D5778A">
      <w:pPr>
        <w:pStyle w:val="Prrafodelista"/>
        <w:spacing w:after="0" w:line="240" w:lineRule="auto"/>
        <w:ind w:left="1428"/>
        <w:jc w:val="both"/>
        <w:rPr>
          <w:rFonts w:ascii="Palatino Linotype" w:hAnsi="Palatino Linotype" w:cs="Arial"/>
          <w:b/>
          <w:sz w:val="24"/>
          <w:szCs w:val="24"/>
        </w:rPr>
      </w:pPr>
    </w:p>
    <w:p w:rsidR="00985973" w:rsidRPr="00BE6935" w:rsidRDefault="00985973" w:rsidP="00985973">
      <w:pPr>
        <w:pStyle w:val="Ttulo3"/>
        <w:numPr>
          <w:ilvl w:val="0"/>
          <w:numId w:val="37"/>
        </w:numPr>
        <w:ind w:left="1701"/>
        <w:rPr>
          <w:rFonts w:ascii="Palatino Linotype" w:hAnsi="Palatino Linotype" w:cs="Arial"/>
          <w:b/>
          <w:color w:val="auto"/>
        </w:rPr>
      </w:pPr>
      <w:bookmarkStart w:id="21" w:name="_Toc485899346"/>
      <w:bookmarkStart w:id="22" w:name="_Toc522528222"/>
      <w:r w:rsidRPr="00BE6935">
        <w:rPr>
          <w:rFonts w:ascii="Palatino Linotype" w:hAnsi="Palatino Linotype" w:cs="Arial"/>
          <w:b/>
          <w:color w:val="auto"/>
        </w:rPr>
        <w:t>La prueba de daño</w:t>
      </w:r>
      <w:bookmarkEnd w:id="21"/>
      <w:bookmarkEnd w:id="22"/>
    </w:p>
    <w:p w:rsidR="00985973" w:rsidRPr="00BE6935" w:rsidRDefault="00985973" w:rsidP="00D5778A">
      <w:pPr>
        <w:pStyle w:val="Prrafodelista"/>
        <w:spacing w:after="0"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85973" w:rsidRPr="00BE6935" w:rsidRDefault="00985973" w:rsidP="00D5778A">
      <w:pPr>
        <w:pStyle w:val="Prrafodelista"/>
        <w:spacing w:line="240" w:lineRule="auto"/>
        <w:ind w:left="360"/>
        <w:jc w:val="both"/>
        <w:rPr>
          <w:rFonts w:ascii="Palatino Linotype" w:hAnsi="Palatino Linotype"/>
          <w:sz w:val="24"/>
          <w:szCs w:val="24"/>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Para aplicar la prueba de daño, se deberán de precisar la razones objetivas por las que la apertura genera una afectación, acreditando que:</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 </w:t>
      </w:r>
      <w:r w:rsidRPr="00BE6935">
        <w:rPr>
          <w:rFonts w:ascii="Palatino Linotype" w:hAnsi="Palatino Linotype" w:cs="Bookman Old Style"/>
          <w:szCs w:val="26"/>
          <w:lang w:val="es-ES_tradnl"/>
        </w:rPr>
        <w:t xml:space="preserve">La divulgación de la información representa un riesgo real, demostrable e identificable del perjuicio significativo al interés público o a la seguridad pública; </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t xml:space="preserve">II. </w:t>
      </w:r>
      <w:r w:rsidRPr="00BE6935">
        <w:rPr>
          <w:rFonts w:ascii="Palatino Linotype" w:hAnsi="Palatino Linotype" w:cs="Bookman Old Style"/>
          <w:szCs w:val="26"/>
          <w:lang w:val="es-ES_tradnl"/>
        </w:rPr>
        <w:t xml:space="preserve">El riesgo de perjuicio que supondría la divulgación supera el interés público general de que se difunda; y </w:t>
      </w:r>
    </w:p>
    <w:p w:rsidR="00985973" w:rsidRPr="00BE6935" w:rsidRDefault="00985973" w:rsidP="00CA4355">
      <w:pPr>
        <w:widowControl w:val="0"/>
        <w:tabs>
          <w:tab w:val="left" w:pos="7938"/>
        </w:tabs>
        <w:autoSpaceDE w:val="0"/>
        <w:autoSpaceDN w:val="0"/>
        <w:adjustRightInd w:val="0"/>
        <w:spacing w:after="240" w:line="276" w:lineRule="auto"/>
        <w:ind w:left="851" w:right="1041"/>
        <w:jc w:val="both"/>
        <w:rPr>
          <w:rFonts w:ascii="Palatino Linotype" w:hAnsi="Palatino Linotype" w:cs="Times"/>
          <w:szCs w:val="24"/>
          <w:lang w:val="es-ES_tradnl"/>
        </w:rPr>
      </w:pPr>
      <w:r w:rsidRPr="00BE6935">
        <w:rPr>
          <w:rFonts w:ascii="Palatino Linotype" w:hAnsi="Palatino Linotype" w:cs="Bookman Old Style"/>
          <w:bCs/>
          <w:szCs w:val="26"/>
          <w:lang w:val="es-ES_tradnl"/>
        </w:rPr>
        <w:lastRenderedPageBreak/>
        <w:t xml:space="preserve">III. </w:t>
      </w:r>
      <w:r w:rsidRPr="00BE6935">
        <w:rPr>
          <w:rFonts w:ascii="Palatino Linotype" w:hAnsi="Palatino Linotype" w:cs="Bookman Old Style"/>
          <w:szCs w:val="26"/>
          <w:lang w:val="es-ES_tradnl"/>
        </w:rPr>
        <w:t xml:space="preserve">La limitación se adecua al principio de proporcionalidad y representa el medio menos restrictivo disponible para evitar el perjuicio. </w:t>
      </w:r>
    </w:p>
    <w:p w:rsidR="00985973" w:rsidRPr="00BE6935" w:rsidRDefault="00985973" w:rsidP="00377F9C">
      <w:pPr>
        <w:pStyle w:val="Prrafodelista"/>
        <w:numPr>
          <w:ilvl w:val="0"/>
          <w:numId w:val="1"/>
        </w:numPr>
        <w:spacing w:line="360" w:lineRule="auto"/>
        <w:jc w:val="both"/>
        <w:rPr>
          <w:rFonts w:ascii="Palatino Linotype" w:hAnsi="Palatino Linotype" w:cs="Times New Roman"/>
        </w:rPr>
      </w:pPr>
      <w:r w:rsidRPr="00BE6935">
        <w:rPr>
          <w:rFonts w:ascii="Palatino Linotype" w:hAnsi="Palatino Linotype"/>
          <w:sz w:val="24"/>
        </w:rPr>
        <w:t>Sobre el primer supuesto consideremos que según el diccionario del español jurídico, por riesgo podemos entender “la contingencia o proximidad de un daño</w:t>
      </w:r>
      <w:r w:rsidRPr="00BE6935">
        <w:rPr>
          <w:rFonts w:ascii="Palatino Linotype" w:hAnsi="Palatino Linotype"/>
        </w:rPr>
        <w:t>”,</w:t>
      </w:r>
      <w:r w:rsidRPr="00BE6935">
        <w:rPr>
          <w:rStyle w:val="Refdenotaalpie"/>
          <w:rFonts w:ascii="Palatino Linotype" w:hAnsi="Palatino Linotype"/>
        </w:rPr>
        <w:footnoteReference w:id="6"/>
      </w:r>
      <w:r w:rsidRPr="00BE6935">
        <w:rPr>
          <w:rFonts w:ascii="Palatino Linotype" w:hAnsi="Palatino Linotype"/>
        </w:rPr>
        <w:t xml:space="preserve"> </w:t>
      </w:r>
      <w:r w:rsidRPr="00BE6935">
        <w:rPr>
          <w:rFonts w:ascii="Palatino Linotype" w:hAnsi="Palatino Linotype"/>
          <w:sz w:val="24"/>
        </w:rPr>
        <w:t>mientras que el daño es considerado como un “perjuicio o lesión”</w:t>
      </w:r>
      <w:r w:rsidRPr="00BE6935">
        <w:rPr>
          <w:rStyle w:val="Refdenotaalpie"/>
          <w:rFonts w:ascii="Palatino Linotype" w:hAnsi="Palatino Linotype"/>
        </w:rPr>
        <w:footnoteReference w:id="7"/>
      </w:r>
      <w:r w:rsidRPr="00BE6935">
        <w:rPr>
          <w:rFonts w:ascii="Palatino Linotype" w:hAnsi="Palatino Linotype"/>
        </w:rPr>
        <w:t xml:space="preserve">, </w:t>
      </w:r>
      <w:r w:rsidRPr="00BE6935">
        <w:rPr>
          <w:rFonts w:ascii="Palatino Linotype" w:hAnsi="Palatino Linotype"/>
          <w:sz w:val="24"/>
        </w:rPr>
        <w:t>mientras que según el Diccionario de la Lengua Española, lo real es lo “(q)ue</w:t>
      </w:r>
      <w:r w:rsidR="00377F9C" w:rsidRPr="00BE6935">
        <w:rPr>
          <w:rFonts w:ascii="Palatino Linotype" w:hAnsi="Palatino Linotype"/>
          <w:sz w:val="24"/>
        </w:rPr>
        <w:t xml:space="preserve"> </w:t>
      </w:r>
      <w:r w:rsidRPr="00BE6935">
        <w:rPr>
          <w:rFonts w:ascii="Palatino Linotype" w:hAnsi="Palatino Linotype"/>
          <w:sz w:val="24"/>
        </w:rPr>
        <w:t>tiene</w:t>
      </w:r>
      <w:r w:rsidR="00377F9C" w:rsidRPr="00BE6935">
        <w:rPr>
          <w:rFonts w:ascii="Palatino Linotype" w:hAnsi="Palatino Linotype"/>
          <w:sz w:val="24"/>
        </w:rPr>
        <w:t xml:space="preserve"> </w:t>
      </w:r>
      <w:r w:rsidRPr="00BE6935">
        <w:rPr>
          <w:rFonts w:ascii="Palatino Linotype" w:hAnsi="Palatino Linotype"/>
          <w:sz w:val="24"/>
        </w:rPr>
        <w:t>existencia</w:t>
      </w:r>
      <w:r w:rsidR="00377F9C" w:rsidRPr="00BE6935">
        <w:rPr>
          <w:rFonts w:ascii="Palatino Linotype" w:hAnsi="Palatino Linotype"/>
          <w:sz w:val="24"/>
        </w:rPr>
        <w:t xml:space="preserve"> </w:t>
      </w:r>
      <w:r w:rsidRPr="00BE6935">
        <w:rPr>
          <w:rFonts w:ascii="Palatino Linotype" w:hAnsi="Palatino Linotype"/>
          <w:sz w:val="24"/>
        </w:rPr>
        <w:t>objetiva”,</w:t>
      </w:r>
      <w:r w:rsidRPr="00BE6935">
        <w:rPr>
          <w:rStyle w:val="Refdenotaalpie"/>
          <w:rFonts w:ascii="Palatino Linotype" w:eastAsia="Times New Roman" w:hAnsi="Palatino Linotype"/>
        </w:rPr>
        <w:footnoteReference w:id="8"/>
      </w:r>
      <w:r w:rsidRPr="00BE6935">
        <w:rPr>
          <w:rFonts w:ascii="Palatino Linotype" w:eastAsia="Times New Roman" w:hAnsi="Palatino Linotype"/>
        </w:rPr>
        <w:t xml:space="preserve"> </w:t>
      </w:r>
      <w:r w:rsidRPr="00BE6935">
        <w:rPr>
          <w:rFonts w:ascii="Palatino Linotype" w:hAnsi="Palatino Linotype"/>
          <w:sz w:val="24"/>
        </w:rPr>
        <w:t>mientras que lo demostrables es, según la misma fuente, aquello que se puede demostrar</w:t>
      </w:r>
      <w:r w:rsidRPr="00BE6935">
        <w:rPr>
          <w:rFonts w:ascii="Palatino Linotype" w:eastAsia="Arial Unicode MS" w:hAnsi="Palatino Linotype" w:cs="Arial Unicode MS"/>
          <w:spacing w:val="4"/>
          <w:szCs w:val="26"/>
          <w:shd w:val="clear" w:color="auto" w:fill="FFFFFF"/>
        </w:rPr>
        <w:t>,</w:t>
      </w:r>
      <w:r w:rsidRPr="00BE6935">
        <w:rPr>
          <w:rStyle w:val="Refdenotaalpie"/>
          <w:rFonts w:ascii="Palatino Linotype" w:eastAsia="Arial Unicode MS" w:hAnsi="Palatino Linotype" w:cs="Arial Unicode MS"/>
          <w:spacing w:val="4"/>
          <w:szCs w:val="26"/>
          <w:shd w:val="clear" w:color="auto" w:fill="FFFFFF"/>
        </w:rPr>
        <w:footnoteReference w:id="9"/>
      </w:r>
      <w:r w:rsidRPr="00BE6935">
        <w:rPr>
          <w:rFonts w:ascii="Palatino Linotype" w:eastAsia="Arial Unicode MS" w:hAnsi="Palatino Linotype" w:cs="Arial Unicode MS"/>
          <w:spacing w:val="4"/>
          <w:szCs w:val="26"/>
          <w:shd w:val="clear" w:color="auto" w:fill="FFFFFF"/>
        </w:rPr>
        <w:t xml:space="preserve"> </w:t>
      </w:r>
      <w:r w:rsidRPr="00BE6935">
        <w:rPr>
          <w:rFonts w:ascii="Palatino Linotype" w:hAnsi="Palatino Linotype"/>
          <w:sz w:val="24"/>
        </w:rPr>
        <w:t xml:space="preserve">es decir, </w:t>
      </w:r>
      <w:r w:rsidR="00377F9C" w:rsidRPr="00BE6935">
        <w:rPr>
          <w:rFonts w:ascii="Palatino Linotype" w:hAnsi="Palatino Linotype"/>
          <w:sz w:val="24"/>
        </w:rPr>
        <w:t xml:space="preserve">“(m)anifestar, declarar. Probar, sirviéndose de cualquier </w:t>
      </w:r>
      <w:r w:rsidRPr="00BE6935">
        <w:rPr>
          <w:rFonts w:ascii="Palatino Linotype" w:hAnsi="Palatino Linotype"/>
          <w:sz w:val="24"/>
        </w:rPr>
        <w:t>g</w:t>
      </w:r>
      <w:r w:rsidR="00377F9C" w:rsidRPr="00BE6935">
        <w:rPr>
          <w:rFonts w:ascii="Palatino Linotype" w:hAnsi="Palatino Linotype"/>
          <w:sz w:val="24"/>
        </w:rPr>
        <w:t xml:space="preserve">énero </w:t>
      </w:r>
      <w:r w:rsidR="00D5778A" w:rsidRPr="00BE6935">
        <w:rPr>
          <w:rFonts w:ascii="Palatino Linotype" w:hAnsi="Palatino Linotype"/>
          <w:sz w:val="24"/>
        </w:rPr>
        <w:t xml:space="preserve">de </w:t>
      </w:r>
      <w:r w:rsidR="00377F9C" w:rsidRPr="00BE6935">
        <w:rPr>
          <w:rFonts w:ascii="Palatino Linotype" w:hAnsi="Palatino Linotype"/>
          <w:sz w:val="24"/>
        </w:rPr>
        <w:t xml:space="preserve">demostración, </w:t>
      </w:r>
      <w:hyperlink r:id="rId8" w:anchor="6nAyKjE" w:history="1">
        <w:r w:rsidRPr="00BE6935">
          <w:rPr>
            <w:rFonts w:ascii="Palatino Linotype" w:hAnsi="Palatino Linotype"/>
            <w:sz w:val="24"/>
          </w:rPr>
          <w:t>enseñar</w:t>
        </w:r>
      </w:hyperlink>
      <w:r w:rsidR="00377F9C" w:rsidRPr="00BE6935">
        <w:rPr>
          <w:rFonts w:ascii="Palatino Linotype" w:hAnsi="Palatino Linotype"/>
          <w:sz w:val="24"/>
        </w:rPr>
        <w:t xml:space="preserve"> mostrar o exponer </w:t>
      </w:r>
      <w:r w:rsidRPr="00BE6935">
        <w:rPr>
          <w:rFonts w:ascii="Palatino Linotype" w:hAnsi="Palatino Linotype"/>
          <w:sz w:val="24"/>
        </w:rPr>
        <w:t>algo)”</w:t>
      </w:r>
      <w:r w:rsidRPr="00BE6935">
        <w:rPr>
          <w:rFonts w:ascii="Palatino Linotype" w:hAnsi="Palatino Linotype"/>
        </w:rPr>
        <w:t>.</w:t>
      </w:r>
      <w:r w:rsidRPr="00BE6935">
        <w:rPr>
          <w:rStyle w:val="Refdenotaalpie"/>
          <w:rFonts w:ascii="Palatino Linotype" w:hAnsi="Palatino Linotype"/>
        </w:rPr>
        <w:footnoteReference w:id="10"/>
      </w:r>
      <w:r w:rsidRPr="00BE6935">
        <w:rPr>
          <w:rFonts w:ascii="Palatino Linotype" w:hAnsi="Palatino Linotype"/>
        </w:rPr>
        <w:t xml:space="preserve"> </w:t>
      </w:r>
      <w:r w:rsidRPr="00BE6935">
        <w:rPr>
          <w:rFonts w:ascii="Palatino Linotype" w:hAnsi="Palatino Linotype"/>
          <w:sz w:val="24"/>
        </w:rPr>
        <w:t>Mientras que lo identificable es lo que puede ser identificado</w:t>
      </w:r>
      <w:r w:rsidRPr="00BE6935">
        <w:rPr>
          <w:rFonts w:ascii="Palatino Linotype" w:hAnsi="Palatino Linotype"/>
        </w:rPr>
        <w:t>,</w:t>
      </w:r>
      <w:r w:rsidRPr="00BE6935">
        <w:rPr>
          <w:rStyle w:val="Refdenotaalpie"/>
          <w:rFonts w:ascii="Palatino Linotype" w:hAnsi="Palatino Linotype"/>
        </w:rPr>
        <w:footnoteReference w:id="11"/>
      </w:r>
      <w:r w:rsidRPr="00BE6935">
        <w:rPr>
          <w:rFonts w:ascii="Palatino Linotype" w:hAnsi="Palatino Linotype"/>
        </w:rPr>
        <w:t xml:space="preserve"> </w:t>
      </w:r>
      <w:r w:rsidRPr="00BE6935">
        <w:rPr>
          <w:rFonts w:ascii="Palatino Linotype" w:hAnsi="Palatino Linotype"/>
          <w:sz w:val="24"/>
        </w:rPr>
        <w:t>esto es,</w:t>
      </w:r>
      <w:r w:rsidR="00377F9C" w:rsidRPr="00BE6935">
        <w:rPr>
          <w:rFonts w:ascii="Palatino Linotype" w:hAnsi="Palatino Linotype"/>
          <w:sz w:val="24"/>
        </w:rPr>
        <w:t xml:space="preserve">“(d)ar los datos necesarios para ser </w:t>
      </w:r>
      <w:r w:rsidRPr="00BE6935">
        <w:rPr>
          <w:rFonts w:ascii="Palatino Linotype" w:hAnsi="Palatino Linotype"/>
          <w:sz w:val="24"/>
        </w:rPr>
        <w:t>reconocido”.</w:t>
      </w:r>
      <w:r w:rsidRPr="00BE6935">
        <w:rPr>
          <w:rStyle w:val="Refdenotaalpie"/>
          <w:rFonts w:ascii="Palatino Linotype" w:hAnsi="Palatino Linotype"/>
        </w:rPr>
        <w:footnoteReference w:id="12"/>
      </w:r>
    </w:p>
    <w:p w:rsidR="00985973" w:rsidRPr="00BE6935" w:rsidRDefault="00985973" w:rsidP="00CA4355">
      <w:pPr>
        <w:pStyle w:val="Prrafodelista"/>
        <w:spacing w:after="0" w:line="240" w:lineRule="auto"/>
        <w:ind w:left="360"/>
        <w:jc w:val="both"/>
        <w:rPr>
          <w:rFonts w:ascii="Palatino Linotype" w:hAnsi="Palatino Linotype"/>
          <w:sz w:val="14"/>
        </w:rPr>
      </w:pPr>
    </w:p>
    <w:p w:rsidR="00985973" w:rsidRPr="00BE6935" w:rsidRDefault="00985973" w:rsidP="00836474">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 xml:space="preserve">Por lo que entonces, el primer supuesto de la prueba de daño consiste en acreditar que la entrega de la información provoca tres aspectos concurrentes: </w:t>
      </w:r>
      <w:r w:rsidR="00836474" w:rsidRPr="00BE6935">
        <w:rPr>
          <w:rFonts w:ascii="Palatino Linotype" w:hAnsi="Palatino Linotype"/>
          <w:sz w:val="24"/>
        </w:rPr>
        <w:t>l</w:t>
      </w:r>
      <w:r w:rsidRPr="00BE6935">
        <w:rPr>
          <w:rFonts w:ascii="Palatino Linotype" w:hAnsi="Palatino Linotype"/>
          <w:sz w:val="24"/>
        </w:rPr>
        <w:t>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85973" w:rsidRPr="00BE6935" w:rsidRDefault="00985973" w:rsidP="00836474">
      <w:pPr>
        <w:pStyle w:val="Prrafodelista"/>
        <w:spacing w:after="0" w:line="24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 xml:space="preserve">Identificado ese riesgo, se debe demostrar que el mismo supera el interés público general porque se difunda dicha información. </w:t>
      </w:r>
    </w:p>
    <w:p w:rsidR="00985973" w:rsidRPr="00BE6935" w:rsidRDefault="00985973" w:rsidP="00985973">
      <w:pPr>
        <w:pStyle w:val="Prrafodelista"/>
        <w:spacing w:line="360" w:lineRule="auto"/>
        <w:ind w:left="360"/>
        <w:jc w:val="both"/>
        <w:rPr>
          <w:rFonts w:ascii="Palatino Linotype" w:hAnsi="Palatino Linotype"/>
        </w:rPr>
      </w:pPr>
    </w:p>
    <w:p w:rsidR="00985973" w:rsidRPr="00BE6935" w:rsidRDefault="00985973" w:rsidP="001D2906">
      <w:pPr>
        <w:pStyle w:val="Prrafodelista"/>
        <w:numPr>
          <w:ilvl w:val="0"/>
          <w:numId w:val="1"/>
        </w:numPr>
        <w:spacing w:line="360" w:lineRule="auto"/>
        <w:jc w:val="both"/>
        <w:rPr>
          <w:rFonts w:ascii="Palatino Linotype" w:hAnsi="Palatino Linotype"/>
        </w:rPr>
      </w:pPr>
      <w:r w:rsidRPr="00BE6935">
        <w:rPr>
          <w:rFonts w:ascii="Palatino Linotype" w:hAnsi="Palatino Linotype"/>
          <w:sz w:val="24"/>
        </w:rPr>
        <w:t>Y, por último,  que la limitación es acorde con el principio de proporcionalidad, para ello, se sugiere emplear los tres juicios propuestos por la Corte Constitucional Colombiana</w:t>
      </w:r>
      <w:r w:rsidRPr="00BE6935">
        <w:rPr>
          <w:rStyle w:val="Refdenotaalpie"/>
          <w:rFonts w:ascii="Palatino Linotype" w:hAnsi="Palatino Linotype"/>
          <w:sz w:val="24"/>
        </w:rPr>
        <w:footnoteReference w:id="13"/>
      </w:r>
      <w:r w:rsidRPr="00BE6935">
        <w:rPr>
          <w:rFonts w:ascii="Palatino Linotype" w:hAnsi="Palatino Linotype"/>
          <w:sz w:val="24"/>
        </w:rPr>
        <w:t>, siguiendo el principio de ponderación propuesto por el Tribunal Constitucional Alemán,</w:t>
      </w:r>
      <w:r w:rsidRPr="00BE6935">
        <w:rPr>
          <w:rStyle w:val="Refdenotaalpie"/>
          <w:rFonts w:ascii="Palatino Linotype" w:hAnsi="Palatino Linotype"/>
          <w:sz w:val="24"/>
        </w:rPr>
        <w:footnoteReference w:id="14"/>
      </w:r>
      <w:r w:rsidRPr="00BE6935">
        <w:rPr>
          <w:rFonts w:ascii="Palatino Linotype" w:hAnsi="Palatino Linotype"/>
          <w:sz w:val="24"/>
        </w:rPr>
        <w:t xml:space="preserve"> el juicio de idoneidad, que la medida adoptada sea la idónea para el ejercicio del derecho; de necesidad, que sea necearía para que el derecho que prevalece se ejerza y el de estricta </w:t>
      </w:r>
      <w:r w:rsidRPr="00BE6935">
        <w:rPr>
          <w:rFonts w:ascii="Palatino Linotype" w:hAnsi="Palatino Linotype"/>
          <w:sz w:val="24"/>
        </w:rPr>
        <w:lastRenderedPageBreak/>
        <w:t>proporcionalidad esto es, que el derecho que prevalezca sea en la dimensión estrictamente proporcional al derecho que retrocede.</w:t>
      </w:r>
    </w:p>
    <w:p w:rsidR="00985973" w:rsidRPr="00BE6935" w:rsidRDefault="00985973" w:rsidP="00CA4355">
      <w:pPr>
        <w:pStyle w:val="Prrafodelista"/>
        <w:spacing w:after="0"/>
        <w:rPr>
          <w:rFonts w:ascii="Palatino Linotype" w:hAnsi="Palatino Linotype" w:cs="Arial"/>
          <w:b/>
          <w:sz w:val="2"/>
        </w:rPr>
      </w:pPr>
    </w:p>
    <w:p w:rsidR="00985973" w:rsidRPr="00BE6935" w:rsidRDefault="00985973" w:rsidP="004F01EC">
      <w:pPr>
        <w:pStyle w:val="Ttulo1"/>
        <w:numPr>
          <w:ilvl w:val="0"/>
          <w:numId w:val="38"/>
        </w:numPr>
        <w:spacing w:after="240" w:line="276" w:lineRule="auto"/>
        <w:rPr>
          <w:rFonts w:ascii="Palatino Linotype" w:hAnsi="Palatino Linotype" w:cs="Arial"/>
          <w:b/>
          <w:color w:val="auto"/>
          <w:sz w:val="24"/>
        </w:rPr>
      </w:pPr>
      <w:bookmarkStart w:id="23" w:name="_Toc485899347"/>
      <w:bookmarkStart w:id="24" w:name="_Toc522528223"/>
      <w:r w:rsidRPr="00BE6935">
        <w:rPr>
          <w:rFonts w:ascii="Palatino Linotype" w:hAnsi="Palatino Linotype" w:cs="Arial"/>
          <w:b/>
          <w:color w:val="auto"/>
          <w:sz w:val="24"/>
        </w:rPr>
        <w:t>La clasificación de la información reservada debe ser de manera temporal.</w:t>
      </w:r>
      <w:bookmarkEnd w:id="23"/>
      <w:bookmarkEnd w:id="24"/>
    </w:p>
    <w:p w:rsidR="00985973" w:rsidRPr="00BE6935" w:rsidRDefault="00985973" w:rsidP="00FE1FCD">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85973" w:rsidRPr="00BE6935" w:rsidRDefault="00985973" w:rsidP="00FE1FCD">
      <w:pPr>
        <w:pStyle w:val="Prrafodelista"/>
        <w:spacing w:after="0" w:line="240" w:lineRule="auto"/>
        <w:ind w:left="360"/>
        <w:jc w:val="both"/>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985973" w:rsidRPr="00BE6935" w:rsidRDefault="00985973" w:rsidP="00FE1FCD">
      <w:pPr>
        <w:pStyle w:val="Prrafodelista"/>
        <w:spacing w:after="0" w:line="240" w:lineRule="auto"/>
        <w:rPr>
          <w:rFonts w:ascii="Palatino Linotype" w:hAnsi="Palatino Linotype"/>
          <w:sz w:val="12"/>
        </w:rPr>
      </w:pPr>
    </w:p>
    <w:p w:rsidR="00985973" w:rsidRPr="00BE6935" w:rsidRDefault="00985973" w:rsidP="00FE1FCD">
      <w:pPr>
        <w:pStyle w:val="Prrafodelista"/>
        <w:numPr>
          <w:ilvl w:val="0"/>
          <w:numId w:val="1"/>
        </w:numPr>
        <w:spacing w:after="0" w:line="360" w:lineRule="auto"/>
        <w:jc w:val="both"/>
        <w:rPr>
          <w:rFonts w:ascii="Palatino Linotype" w:hAnsi="Palatino Linotype"/>
          <w:sz w:val="24"/>
          <w:szCs w:val="24"/>
        </w:rPr>
      </w:pPr>
      <w:r w:rsidRPr="00BE6935">
        <w:rPr>
          <w:rFonts w:ascii="Palatino Linotype" w:hAnsi="Palatino Linotype"/>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85973" w:rsidRPr="00BE6935" w:rsidRDefault="00985973" w:rsidP="00FE1FCD">
      <w:pPr>
        <w:pStyle w:val="Prrafodelista"/>
        <w:spacing w:line="240" w:lineRule="auto"/>
        <w:rPr>
          <w:rFonts w:ascii="Palatino Linotype" w:hAnsi="Palatino Linotype"/>
          <w:b/>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De</w:t>
      </w:r>
      <w:r w:rsidRPr="00BE6935">
        <w:rPr>
          <w:rFonts w:ascii="Palatino Linotype" w:hAnsi="Palatino Linotype"/>
          <w:b/>
          <w:sz w:val="24"/>
        </w:rPr>
        <w:t xml:space="preserve"> </w:t>
      </w:r>
      <w:r w:rsidRPr="00BE6935">
        <w:rPr>
          <w:rFonts w:ascii="Palatino Linotype" w:hAnsi="Palatino Linotype"/>
          <w:sz w:val="24"/>
        </w:rPr>
        <w:t xml:space="preserve">manera excepcional los </w:t>
      </w:r>
      <w:r w:rsidR="00FE1FCD" w:rsidRPr="00BE6935">
        <w:rPr>
          <w:rFonts w:ascii="Palatino Linotype" w:hAnsi="Palatino Linotype"/>
          <w:sz w:val="24"/>
        </w:rPr>
        <w:t xml:space="preserve">Sujetos Obligados </w:t>
      </w:r>
      <w:r w:rsidRPr="00BE6935">
        <w:rPr>
          <w:rFonts w:ascii="Palatino Linotype" w:hAnsi="Palatino Linotype"/>
          <w:sz w:val="24"/>
        </w:rPr>
        <w:t xml:space="preserve">con la aprobación de su Comité de Transparencia, podrán ampliar el periodo de reserva hasta por un plazo de cinco </w:t>
      </w:r>
      <w:r w:rsidRPr="00BE6935">
        <w:rPr>
          <w:rFonts w:ascii="Palatino Linotype" w:hAnsi="Palatino Linotype"/>
          <w:sz w:val="24"/>
        </w:rPr>
        <w:lastRenderedPageBreak/>
        <w:t xml:space="preserve">años adicionales y por una sola vez, siempre y cuando justifiquen que subsisten las causas que dieron origen a su clasificación, mediante la aplicación de una prueba de daño. </w:t>
      </w:r>
    </w:p>
    <w:p w:rsidR="00985973" w:rsidRPr="00BE6935" w:rsidRDefault="00985973" w:rsidP="00FE1FCD">
      <w:pPr>
        <w:pStyle w:val="Prrafodelista"/>
        <w:spacing w:line="240" w:lineRule="auto"/>
        <w:rPr>
          <w:rFonts w:ascii="Palatino Linotype" w:hAnsi="Palatino Linotype"/>
          <w:sz w:val="10"/>
        </w:rPr>
      </w:pPr>
    </w:p>
    <w:p w:rsidR="00985973" w:rsidRPr="00BE6935" w:rsidRDefault="00985973" w:rsidP="001D2906">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871CB0" w:rsidRPr="00BE6935">
        <w:rPr>
          <w:rFonts w:ascii="Palatino Linotype" w:hAnsi="Palatino Linotype"/>
          <w:sz w:val="24"/>
        </w:rPr>
        <w:t xml:space="preserve">Sujeto Obligado </w:t>
      </w:r>
      <w:r w:rsidRPr="00BE6935">
        <w:rPr>
          <w:rFonts w:ascii="Palatino Linotype" w:hAnsi="Palatino Linotype"/>
          <w:sz w:val="24"/>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85973" w:rsidRPr="00BE6935" w:rsidRDefault="00985973" w:rsidP="00FE1FCD">
      <w:pPr>
        <w:pStyle w:val="Ttulo1"/>
        <w:numPr>
          <w:ilvl w:val="0"/>
          <w:numId w:val="38"/>
        </w:numPr>
        <w:spacing w:after="240"/>
        <w:rPr>
          <w:rFonts w:ascii="Palatino Linotype" w:hAnsi="Palatino Linotype" w:cs="Arial"/>
          <w:b/>
          <w:color w:val="auto"/>
          <w:sz w:val="24"/>
        </w:rPr>
      </w:pPr>
      <w:bookmarkStart w:id="25" w:name="_Toc485899348"/>
      <w:bookmarkStart w:id="26" w:name="_Toc522528224"/>
      <w:r w:rsidRPr="00BE6935">
        <w:rPr>
          <w:rFonts w:ascii="Palatino Linotype" w:hAnsi="Palatino Linotype" w:cs="Arial"/>
          <w:b/>
          <w:color w:val="auto"/>
          <w:sz w:val="24"/>
        </w:rPr>
        <w:t>Condiciones especiales de la clasificación de la información como confidencial</w:t>
      </w:r>
      <w:bookmarkEnd w:id="25"/>
      <w:bookmarkEnd w:id="26"/>
      <w:r w:rsidRPr="00BE6935">
        <w:rPr>
          <w:rFonts w:ascii="Palatino Linotype" w:hAnsi="Palatino Linotype" w:cs="Arial"/>
          <w:b/>
          <w:color w:val="auto"/>
          <w:sz w:val="24"/>
        </w:rPr>
        <w:t xml:space="preserve"> </w:t>
      </w:r>
    </w:p>
    <w:p w:rsidR="00985973" w:rsidRPr="00BE6935" w:rsidRDefault="00985973" w:rsidP="00FE1FCD">
      <w:pPr>
        <w:pStyle w:val="Prrafodelista"/>
        <w:numPr>
          <w:ilvl w:val="0"/>
          <w:numId w:val="1"/>
        </w:numPr>
        <w:spacing w:line="360" w:lineRule="auto"/>
        <w:jc w:val="both"/>
        <w:rPr>
          <w:rFonts w:ascii="Palatino Linotype" w:hAnsi="Palatino Linotype"/>
          <w:sz w:val="24"/>
        </w:rPr>
      </w:pPr>
      <w:r w:rsidRPr="00BE6935">
        <w:rPr>
          <w:rFonts w:ascii="Palatino Linotype" w:hAnsi="Palatino Linotype"/>
          <w:sz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I.</w:t>
      </w:r>
      <w:r w:rsidRPr="00BE6935">
        <w:rPr>
          <w:rFonts w:ascii="Palatino Linotype" w:hAnsi="Palatino Linotype"/>
          <w:szCs w:val="20"/>
        </w:rPr>
        <w:t xml:space="preserve"> La información se encuentre en registros públicos o fuentes de acceso público;</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bCs/>
          <w:szCs w:val="20"/>
        </w:rPr>
      </w:pPr>
      <w:r w:rsidRPr="00BE6935">
        <w:rPr>
          <w:rFonts w:ascii="Palatino Linotype" w:hAnsi="Palatino Linotype"/>
          <w:bCs/>
          <w:szCs w:val="20"/>
        </w:rPr>
        <w:t xml:space="preserve">II. </w:t>
      </w:r>
      <w:r w:rsidRPr="00BE6935">
        <w:rPr>
          <w:rFonts w:ascii="Palatino Linotype" w:hAnsi="Palatino Linotype"/>
          <w:szCs w:val="20"/>
        </w:rPr>
        <w:t>Por Ley tenga el carácter de pública;</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bCs/>
          <w:szCs w:val="20"/>
        </w:rPr>
        <w:t xml:space="preserve">III. </w:t>
      </w:r>
      <w:r w:rsidRPr="00BE6935">
        <w:rPr>
          <w:rFonts w:ascii="Palatino Linotype" w:hAnsi="Palatino Linotype"/>
          <w:szCs w:val="20"/>
        </w:rPr>
        <w:t xml:space="preserve">Exista una orden judicial;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lastRenderedPageBreak/>
        <w:t xml:space="preserve">IV. Por razones de seguridad pública, o para proteger los derechos de terceros, se requiera su publicación; o </w:t>
      </w:r>
    </w:p>
    <w:p w:rsidR="00985973" w:rsidRPr="00BE6935" w:rsidRDefault="00985973" w:rsidP="00871CB0">
      <w:pPr>
        <w:pStyle w:val="NormalWeb"/>
        <w:spacing w:before="240" w:beforeAutospacing="0" w:after="0" w:afterAutospacing="0" w:line="276" w:lineRule="auto"/>
        <w:ind w:left="851" w:right="333"/>
        <w:jc w:val="both"/>
        <w:rPr>
          <w:rFonts w:ascii="Palatino Linotype" w:hAnsi="Palatino Linotype"/>
          <w:szCs w:val="20"/>
        </w:rPr>
      </w:pPr>
      <w:r w:rsidRPr="00BE6935">
        <w:rPr>
          <w:rFonts w:ascii="Palatino Linotype" w:hAnsi="Palatino Linotype"/>
          <w:szCs w:val="2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871CB0" w:rsidRPr="00BE6935" w:rsidRDefault="00871CB0" w:rsidP="00871CB0">
      <w:pPr>
        <w:pStyle w:val="NormalWeb"/>
        <w:spacing w:before="0" w:beforeAutospacing="0" w:after="0" w:afterAutospacing="0"/>
        <w:ind w:left="851" w:right="333"/>
        <w:jc w:val="both"/>
        <w:rPr>
          <w:rFonts w:ascii="Palatino Linotype" w:hAnsi="Palatino Linotype"/>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t>En</w:t>
      </w:r>
      <w:r w:rsidRPr="00BE6935">
        <w:rPr>
          <w:rFonts w:ascii="Palatino Linotype" w:hAnsi="Palatino Linotype"/>
          <w:sz w:val="24"/>
          <w:szCs w:val="20"/>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71CB0" w:rsidRPr="00BE6935" w:rsidRDefault="00871CB0" w:rsidP="00871CB0">
      <w:pPr>
        <w:pStyle w:val="Prrafodelista"/>
        <w:spacing w:after="0" w:line="240" w:lineRule="auto"/>
        <w:ind w:left="360"/>
        <w:jc w:val="both"/>
        <w:rPr>
          <w:rFonts w:ascii="Palatino Linotype" w:hAnsi="Palatino Linotype"/>
          <w:sz w:val="14"/>
          <w:szCs w:val="20"/>
        </w:rPr>
      </w:pPr>
    </w:p>
    <w:p w:rsidR="00985973" w:rsidRPr="00BE6935" w:rsidRDefault="00985973" w:rsidP="00871CB0">
      <w:pPr>
        <w:pStyle w:val="Prrafodelista"/>
        <w:numPr>
          <w:ilvl w:val="0"/>
          <w:numId w:val="1"/>
        </w:numPr>
        <w:spacing w:line="360" w:lineRule="auto"/>
        <w:jc w:val="both"/>
        <w:rPr>
          <w:rFonts w:ascii="Palatino Linotype" w:hAnsi="Palatino Linotype"/>
          <w:sz w:val="24"/>
          <w:szCs w:val="20"/>
        </w:rPr>
      </w:pPr>
      <w:r w:rsidRPr="00BE6935">
        <w:rPr>
          <w:rFonts w:ascii="Palatino Linotype" w:hAnsi="Palatino Linotype"/>
          <w:sz w:val="24"/>
        </w:rPr>
        <w:t>Pero</w:t>
      </w:r>
      <w:r w:rsidRPr="00BE6935">
        <w:rPr>
          <w:rFonts w:ascii="Palatino Linotype" w:hAnsi="Palatino Linotype"/>
          <w:sz w:val="24"/>
          <w:szCs w:val="20"/>
        </w:rPr>
        <w:t xml:space="preserve"> si la información que se pretende clasificar como confidencial no se </w:t>
      </w:r>
      <w:r w:rsidRPr="00BE6935">
        <w:rPr>
          <w:rFonts w:ascii="Palatino Linotype" w:hAnsi="Palatino Linotype"/>
          <w:sz w:val="28"/>
        </w:rPr>
        <w:t>encuentra</w:t>
      </w:r>
      <w:r w:rsidRPr="00BE6935">
        <w:rPr>
          <w:rFonts w:ascii="Palatino Linotype" w:hAnsi="Palatino Linotype"/>
          <w:sz w:val="24"/>
          <w:szCs w:val="20"/>
        </w:rPr>
        <w:t xml:space="preserve"> en los supuestos antes señalados y es posible, se deberá consultar al titular de los datos si permite o no el acceso. De no ser posible, la realización de la consulta, procede, fundando y motivando, la clasificación.</w:t>
      </w:r>
    </w:p>
    <w:p w:rsidR="00985973" w:rsidRPr="00BE6935" w:rsidRDefault="00985973" w:rsidP="00A754F9">
      <w:pPr>
        <w:pStyle w:val="Prrafodelista"/>
        <w:spacing w:after="0" w:line="240" w:lineRule="auto"/>
        <w:ind w:left="360"/>
        <w:jc w:val="both"/>
        <w:rPr>
          <w:rFonts w:ascii="Palatino Linotype" w:hAnsi="Palatino Linotype"/>
          <w:sz w:val="14"/>
          <w:szCs w:val="24"/>
        </w:rPr>
      </w:pPr>
    </w:p>
    <w:p w:rsidR="00985973" w:rsidRPr="00BE6935" w:rsidRDefault="00A754F9" w:rsidP="00A754F9">
      <w:pPr>
        <w:pStyle w:val="Prrafodelista"/>
        <w:numPr>
          <w:ilvl w:val="0"/>
          <w:numId w:val="1"/>
        </w:numPr>
        <w:spacing w:line="360" w:lineRule="auto"/>
        <w:jc w:val="both"/>
        <w:rPr>
          <w:rFonts w:ascii="Palatino Linotype" w:hAnsi="Palatino Linotype"/>
          <w:sz w:val="24"/>
          <w:szCs w:val="24"/>
        </w:rPr>
      </w:pPr>
      <w:r w:rsidRPr="00BE6935">
        <w:rPr>
          <w:rFonts w:ascii="Palatino Linotype" w:hAnsi="Palatino Linotype"/>
          <w:sz w:val="24"/>
          <w:szCs w:val="24"/>
        </w:rPr>
        <w:t>Como conclusión, la aplicación de cada elemento que debe</w:t>
      </w:r>
      <w:r w:rsidR="00985973" w:rsidRPr="00BE6935">
        <w:rPr>
          <w:rFonts w:ascii="Palatino Linotype" w:hAnsi="Palatino Linotype"/>
          <w:sz w:val="24"/>
          <w:szCs w:val="24"/>
        </w:rPr>
        <w:t xml:space="preserve"> de integrar el proceso de clasificación total o parcial de la información para, especialmente, responder a las solicitudes de a</w:t>
      </w:r>
      <w:r w:rsidRPr="00BE6935">
        <w:rPr>
          <w:rFonts w:ascii="Palatino Linotype" w:hAnsi="Palatino Linotype"/>
          <w:sz w:val="24"/>
          <w:szCs w:val="24"/>
        </w:rPr>
        <w:t>cceso a la información pública, l</w:t>
      </w:r>
      <w:r w:rsidR="00985973" w:rsidRPr="00BE6935">
        <w:rPr>
          <w:rFonts w:ascii="Palatino Linotype" w:hAnsi="Palatino Linotype"/>
          <w:sz w:val="24"/>
          <w:szCs w:val="24"/>
        </w:rPr>
        <w:t xml:space="preserve">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w:t>
      </w:r>
      <w:r w:rsidR="00985973" w:rsidRPr="00BE6935">
        <w:rPr>
          <w:rFonts w:ascii="Palatino Linotype" w:hAnsi="Palatino Linotype"/>
          <w:sz w:val="24"/>
          <w:szCs w:val="24"/>
        </w:rPr>
        <w:lastRenderedPageBreak/>
        <w:t>más gráficos y propiciar el mejor entendimiento de esta materia, se anexa a la presente opinión particular, la siguiente tabla.</w:t>
      </w:r>
    </w:p>
    <w:tbl>
      <w:tblPr>
        <w:tblStyle w:val="Tablaconcuadrcula"/>
        <w:tblW w:w="8926" w:type="dxa"/>
        <w:shd w:val="clear" w:color="auto" w:fill="FFFFFF" w:themeFill="background1"/>
        <w:tblLook w:val="04A0" w:firstRow="1" w:lastRow="0" w:firstColumn="1" w:lastColumn="0" w:noHBand="0" w:noVBand="1"/>
      </w:tblPr>
      <w:tblGrid>
        <w:gridCol w:w="2100"/>
        <w:gridCol w:w="2006"/>
        <w:gridCol w:w="2410"/>
        <w:gridCol w:w="2410"/>
      </w:tblGrid>
      <w:tr w:rsidR="00BE6935" w:rsidRPr="00BE6935" w:rsidTr="000A1D52">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Requisitos previos</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sujetos obligados determinan que la información actualiza alguno de los supuestos de clasificación:</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 xml:space="preserve">Confidencialidad </w:t>
            </w:r>
          </w:p>
          <w:p w:rsidR="00985973" w:rsidRPr="00BE6935" w:rsidRDefault="00985973" w:rsidP="00A754F9">
            <w:pPr>
              <w:pStyle w:val="Prrafodelista"/>
              <w:numPr>
                <w:ilvl w:val="0"/>
                <w:numId w:val="33"/>
              </w:numPr>
              <w:spacing w:line="276" w:lineRule="auto"/>
              <w:jc w:val="both"/>
              <w:rPr>
                <w:rFonts w:ascii="Palatino Linotype" w:hAnsi="Palatino Linotype"/>
                <w:sz w:val="22"/>
                <w:szCs w:val="22"/>
              </w:rPr>
            </w:pPr>
            <w:r w:rsidRPr="00BE6935">
              <w:rPr>
                <w:rFonts w:ascii="Palatino Linotype" w:hAnsi="Palatino Linotype"/>
                <w:sz w:val="22"/>
                <w:szCs w:val="22"/>
              </w:rPr>
              <w:t>Reserva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Los titulares de las áreas que administran la información son los que aprueban la clasificación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clasificación de la información se realiza al momento de:</w:t>
            </w:r>
          </w:p>
        </w:tc>
        <w:tc>
          <w:tcPr>
            <w:tcW w:w="2410" w:type="dxa"/>
            <w:shd w:val="clear" w:color="auto" w:fill="FFFFFF" w:themeFill="background1"/>
          </w:tcPr>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Atender una solicitud</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Por mandato de una autoridad competente</w:t>
            </w:r>
          </w:p>
          <w:p w:rsidR="00985973" w:rsidRPr="00BE6935" w:rsidRDefault="00985973" w:rsidP="00A754F9">
            <w:pPr>
              <w:pStyle w:val="Prrafodelista"/>
              <w:numPr>
                <w:ilvl w:val="0"/>
                <w:numId w:val="32"/>
              </w:numPr>
              <w:spacing w:line="276" w:lineRule="auto"/>
              <w:jc w:val="both"/>
              <w:rPr>
                <w:rFonts w:ascii="Palatino Linotype" w:hAnsi="Palatino Linotype"/>
                <w:sz w:val="22"/>
                <w:szCs w:val="22"/>
              </w:rPr>
            </w:pPr>
            <w:r w:rsidRPr="00BE6935">
              <w:rPr>
                <w:rFonts w:ascii="Palatino Linotype" w:hAnsi="Palatino Linotype"/>
                <w:sz w:val="22"/>
                <w:szCs w:val="22"/>
              </w:rPr>
              <w:t>Para elaborar una versión pública y cumplir una obligación de transparencia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No se pueden emitir acuerdos de carácter general ni particular</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sujeto obligado debe emitir un acuerdo describiendo y analizando cada documento de un </w:t>
            </w:r>
            <w:r w:rsidRPr="00BE6935">
              <w:rPr>
                <w:rFonts w:ascii="Palatino Linotype" w:hAnsi="Palatino Linotype"/>
                <w:sz w:val="22"/>
                <w:szCs w:val="22"/>
              </w:rPr>
              <w:lastRenderedPageBreak/>
              <w:t xml:space="preserve">expediente y todos los datos incluidos en un documento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Supuestos de clasificación</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reservada hay</w:t>
            </w:r>
          </w:p>
        </w:tc>
        <w:tc>
          <w:tcPr>
            <w:tcW w:w="2410" w:type="dxa"/>
            <w:shd w:val="clear" w:color="auto" w:fill="FFFFFF" w:themeFill="background1"/>
          </w:tcPr>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11 supuestos en la Ley Estatal</w:t>
            </w:r>
          </w:p>
          <w:p w:rsidR="00985973" w:rsidRPr="00BE6935" w:rsidRDefault="00985973" w:rsidP="00A754F9">
            <w:pPr>
              <w:pStyle w:val="Prrafodelista"/>
              <w:numPr>
                <w:ilvl w:val="0"/>
                <w:numId w:val="34"/>
              </w:numPr>
              <w:spacing w:line="276" w:lineRule="auto"/>
              <w:jc w:val="both"/>
              <w:rPr>
                <w:rFonts w:ascii="Palatino Linotype" w:hAnsi="Palatino Linotype"/>
                <w:sz w:val="22"/>
                <w:szCs w:val="22"/>
              </w:rPr>
            </w:pPr>
            <w:r w:rsidRPr="00BE6935">
              <w:rPr>
                <w:rFonts w:ascii="Palatino Linotype" w:hAnsi="Palatino Linotype"/>
                <w:sz w:val="22"/>
                <w:szCs w:val="22"/>
              </w:rPr>
              <w:t>13 supuestos en la Ley General</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sujeto obligado debe identificar claramente la información que se pretende clasificar y realizar un juicio de subsunción o encaje</w:t>
            </w: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Para clasificar la información como confidencial hay</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que considerar la definición de dato personal</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Estos supuestos se aplican de manera restrictiva y estricta, no pueden ampliarse</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Excepciones a la clasificación de reserva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No puede clasificarse como información reservada la concerniente a:</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Actos (probados o en investigación) graves de violaciones a derechos humanos</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Delitos de lessa humanidad</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Actos de Corrupción</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Los comprendidos en el Título Sexto del Código Penal del Estado</w:t>
            </w:r>
          </w:p>
        </w:tc>
      </w:tr>
      <w:tr w:rsidR="00BE6935" w:rsidRPr="00BE6935" w:rsidTr="000A1D52">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Participación del Comité de Transparencia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Formalidades</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Comité debe de estar debidamente integrado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Comité no aprueba la clasificación, sólo: confirma, modifica o revoca la decisión de las áreas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Fondo del acuerdo de clasificación</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La carga de la prueba para justificar la restricción corresponde al sujeto obligado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Deber de fundar y motivar</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rPr>
          <w:trHeight w:val="486"/>
        </w:trPr>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reserva</w:t>
            </w:r>
          </w:p>
        </w:tc>
        <w:tc>
          <w:tcPr>
            <w:tcW w:w="2006"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Motivar implica</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Además se debe aplicar, caso por caso, una prueba de daño.</w:t>
            </w:r>
          </w:p>
        </w:tc>
        <w:tc>
          <w:tcPr>
            <w:tcW w:w="241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Señalar las razones, motivos o circunstancias.</w:t>
            </w: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Se deben señalar las razones objetivas y acreditar.</w:t>
            </w:r>
          </w:p>
          <w:p w:rsidR="00985973" w:rsidRPr="00BE6935" w:rsidRDefault="00985973" w:rsidP="00A754F9">
            <w:pPr>
              <w:spacing w:line="276" w:lineRule="auto"/>
              <w:jc w:val="both"/>
              <w:rPr>
                <w:rFonts w:ascii="Palatino Linotype" w:hAnsi="Palatino Linotype"/>
                <w:sz w:val="22"/>
                <w:szCs w:val="22"/>
              </w:rPr>
            </w:pPr>
          </w:p>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*Adquiere la condición especial de ser temporal por un periodo de 5 años con la posibilidad de ampliarse por un periodo igual.</w:t>
            </w:r>
          </w:p>
        </w:tc>
        <w:tc>
          <w:tcPr>
            <w:tcW w:w="241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Que entregar la información provoca un riesgo real, demostrable e identificable al interés público o a la seguridad pública</w:t>
            </w:r>
          </w:p>
        </w:tc>
      </w:tr>
      <w:tr w:rsidR="00BE6935" w:rsidRPr="00BE6935" w:rsidTr="000A1D52">
        <w:trPr>
          <w:trHeight w:val="486"/>
        </w:trPr>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El riesgo por divulgar es mayor que el interés público de que se difunda  </w:t>
            </w: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El principio de proporcionalidad</w:t>
            </w:r>
          </w:p>
        </w:tc>
      </w:tr>
      <w:tr w:rsidR="00BE6935" w:rsidRPr="00BE6935" w:rsidTr="000A1D52">
        <w:tc>
          <w:tcPr>
            <w:tcW w:w="2100" w:type="dxa"/>
            <w:vMerge w:val="restart"/>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Condiciones especiales de la confidencialidad</w:t>
            </w: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Para clasificar se debe verificar que no se encuentre en los supuestos del artículo 148 de la ley Estatal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 xml:space="preserve">Si se encuentra en los supuestos de dicho artículo se entrega aún sin consentimiento del titular del dato personal </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r w:rsidR="00BE6935" w:rsidRPr="00BE6935" w:rsidTr="000A1D52">
        <w:tc>
          <w:tcPr>
            <w:tcW w:w="2100" w:type="dxa"/>
            <w:vMerge/>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006"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r w:rsidRPr="00BE6935">
              <w:rPr>
                <w:rFonts w:ascii="Palatino Linotype" w:hAnsi="Palatino Linotype"/>
                <w:sz w:val="22"/>
                <w:szCs w:val="22"/>
              </w:rPr>
              <w:t>Si es posible, se debe consultar al titular de los datos para requerir su autorización para entregarlo</w:t>
            </w: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c>
          <w:tcPr>
            <w:tcW w:w="2410" w:type="dxa"/>
            <w:shd w:val="clear" w:color="auto" w:fill="FFFFFF" w:themeFill="background1"/>
          </w:tcPr>
          <w:p w:rsidR="00985973" w:rsidRPr="00BE6935" w:rsidRDefault="00985973" w:rsidP="00A754F9">
            <w:pPr>
              <w:spacing w:line="276" w:lineRule="auto"/>
              <w:jc w:val="both"/>
              <w:rPr>
                <w:rFonts w:ascii="Palatino Linotype" w:hAnsi="Palatino Linotype"/>
                <w:sz w:val="22"/>
                <w:szCs w:val="22"/>
              </w:rPr>
            </w:pPr>
          </w:p>
        </w:tc>
      </w:tr>
    </w:tbl>
    <w:p w:rsidR="009A0DD8" w:rsidRDefault="009A0DD8" w:rsidP="00BE6935">
      <w:pPr>
        <w:pStyle w:val="Prrafodelista"/>
        <w:spacing w:after="0"/>
        <w:rPr>
          <w:rFonts w:ascii="Palatino Linotype" w:hAnsi="Palatino Linotype" w:cs="Arial"/>
          <w:sz w:val="24"/>
          <w:szCs w:val="24"/>
        </w:rPr>
      </w:pPr>
    </w:p>
    <w:p w:rsidR="00A575F3" w:rsidRPr="00BE6935" w:rsidRDefault="00A575F3" w:rsidP="00A575F3">
      <w:pPr>
        <w:pStyle w:val="Ttulo1"/>
        <w:numPr>
          <w:ilvl w:val="0"/>
          <w:numId w:val="12"/>
        </w:numPr>
        <w:spacing w:line="360" w:lineRule="auto"/>
        <w:rPr>
          <w:rFonts w:ascii="Palatino Linotype" w:hAnsi="Palatino Linotype" w:cs="Arial"/>
          <w:b/>
          <w:color w:val="auto"/>
          <w:sz w:val="24"/>
        </w:rPr>
      </w:pPr>
      <w:bookmarkStart w:id="27" w:name="_Toc522528225"/>
      <w:r>
        <w:rPr>
          <w:rFonts w:ascii="Palatino Linotype" w:hAnsi="Palatino Linotype"/>
          <w:b/>
          <w:color w:val="auto"/>
          <w:sz w:val="24"/>
          <w:szCs w:val="24"/>
        </w:rPr>
        <w:t>Conclusiones</w:t>
      </w:r>
      <w:r w:rsidRPr="00BE6935">
        <w:rPr>
          <w:rFonts w:ascii="Palatino Linotype" w:hAnsi="Palatino Linotype" w:cs="Arial"/>
          <w:b/>
          <w:color w:val="auto"/>
          <w:sz w:val="24"/>
        </w:rPr>
        <w:t>.</w:t>
      </w:r>
      <w:bookmarkEnd w:id="27"/>
    </w:p>
    <w:p w:rsidR="00A575F3" w:rsidRPr="00BE6935" w:rsidRDefault="00A575F3" w:rsidP="00A575F3">
      <w:pPr>
        <w:pStyle w:val="Prrafodelista"/>
        <w:spacing w:after="0" w:line="240" w:lineRule="auto"/>
        <w:ind w:left="1080"/>
        <w:jc w:val="both"/>
        <w:rPr>
          <w:rFonts w:ascii="Palatino Linotype" w:hAnsi="Palatino Linotype"/>
          <w:b/>
          <w:sz w:val="24"/>
          <w:szCs w:val="24"/>
        </w:rPr>
      </w:pPr>
    </w:p>
    <w:p w:rsidR="00A575F3" w:rsidRDefault="00A575F3"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sz w:val="24"/>
          <w:szCs w:val="24"/>
        </w:rPr>
        <w:t>La Ley en la materia nos establece que l</w:t>
      </w:r>
      <w:r w:rsidRPr="00BE6935">
        <w:rPr>
          <w:rFonts w:ascii="Palatino Linotype" w:hAnsi="Palatino Linotype"/>
          <w:sz w:val="24"/>
          <w:szCs w:val="24"/>
        </w:rPr>
        <w:t>a clasificación total o parcial de la información requerida, mediante solicitud de acceso a la información pública</w:t>
      </w:r>
      <w:r>
        <w:rPr>
          <w:rFonts w:ascii="Palatino Linotype" w:hAnsi="Palatino Linotype"/>
          <w:sz w:val="24"/>
          <w:szCs w:val="24"/>
        </w:rPr>
        <w:t xml:space="preserve"> serán los</w:t>
      </w:r>
      <w:r w:rsidRPr="00A575F3">
        <w:rPr>
          <w:rFonts w:ascii="Palatino Linotype" w:hAnsi="Palatino Linotype" w:cs="Arial"/>
          <w:sz w:val="24"/>
          <w:szCs w:val="24"/>
        </w:rPr>
        <w:t xml:space="preserve"> sujetos obligados </w:t>
      </w:r>
      <w:r>
        <w:rPr>
          <w:rFonts w:ascii="Palatino Linotype" w:hAnsi="Palatino Linotype" w:cs="Arial"/>
          <w:sz w:val="24"/>
          <w:szCs w:val="24"/>
        </w:rPr>
        <w:t xml:space="preserve">quienes </w:t>
      </w:r>
      <w:r w:rsidRPr="00A575F3">
        <w:rPr>
          <w:rFonts w:ascii="Palatino Linotype" w:hAnsi="Palatino Linotype" w:cs="Arial"/>
          <w:sz w:val="24"/>
          <w:szCs w:val="24"/>
        </w:rPr>
        <w:t>determina</w:t>
      </w:r>
      <w:r>
        <w:rPr>
          <w:rFonts w:ascii="Palatino Linotype" w:hAnsi="Palatino Linotype" w:cs="Arial"/>
          <w:sz w:val="24"/>
          <w:szCs w:val="24"/>
        </w:rPr>
        <w:t>ran</w:t>
      </w:r>
      <w:r w:rsidRPr="00A575F3">
        <w:rPr>
          <w:rFonts w:ascii="Palatino Linotype" w:hAnsi="Palatino Linotype" w:cs="Arial"/>
          <w:sz w:val="24"/>
          <w:szCs w:val="24"/>
        </w:rPr>
        <w:t xml:space="preserve">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w:t>
      </w:r>
      <w:r w:rsidR="00FD22A2">
        <w:rPr>
          <w:rFonts w:ascii="Palatino Linotype" w:hAnsi="Palatino Linotype" w:cs="Arial"/>
          <w:sz w:val="24"/>
          <w:szCs w:val="24"/>
        </w:rPr>
        <w:t>.</w:t>
      </w:r>
    </w:p>
    <w:p w:rsidR="00164CF0" w:rsidRDefault="00164CF0" w:rsidP="00164CF0">
      <w:pPr>
        <w:pStyle w:val="Prrafodelista"/>
        <w:spacing w:line="360" w:lineRule="auto"/>
        <w:ind w:left="360"/>
        <w:jc w:val="both"/>
        <w:rPr>
          <w:rFonts w:ascii="Palatino Linotype" w:hAnsi="Palatino Linotype" w:cs="Arial"/>
          <w:sz w:val="24"/>
          <w:szCs w:val="24"/>
        </w:rPr>
      </w:pPr>
    </w:p>
    <w:p w:rsidR="00FD22A2" w:rsidRDefault="00FD22A2"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En esa tesitura, e</w:t>
      </w:r>
      <w:r w:rsidR="003A6E65">
        <w:rPr>
          <w:rFonts w:ascii="Palatino Linotype" w:hAnsi="Palatino Linotype" w:cs="Arial"/>
          <w:sz w:val="24"/>
          <w:szCs w:val="24"/>
        </w:rPr>
        <w:t>s importante señalar que para acreditar</w:t>
      </w:r>
      <w:r>
        <w:rPr>
          <w:rFonts w:ascii="Palatino Linotype" w:hAnsi="Palatino Linotype" w:cs="Arial"/>
          <w:sz w:val="24"/>
          <w:szCs w:val="24"/>
        </w:rPr>
        <w:t xml:space="preserve"> la reserva de la </w:t>
      </w:r>
      <w:r w:rsidR="003A6E65">
        <w:rPr>
          <w:rFonts w:ascii="Palatino Linotype" w:hAnsi="Palatino Linotype" w:cs="Arial"/>
          <w:sz w:val="24"/>
          <w:szCs w:val="24"/>
        </w:rPr>
        <w:t>información</w:t>
      </w:r>
      <w:r>
        <w:rPr>
          <w:rFonts w:ascii="Palatino Linotype" w:hAnsi="Palatino Linotype" w:cs="Arial"/>
          <w:sz w:val="24"/>
          <w:szCs w:val="24"/>
        </w:rPr>
        <w:t xml:space="preserve">, es necesario que se actualicen los </w:t>
      </w:r>
      <w:r w:rsidR="003A6E65">
        <w:rPr>
          <w:rFonts w:ascii="Palatino Linotype" w:hAnsi="Palatino Linotype" w:cs="Arial"/>
          <w:sz w:val="24"/>
          <w:szCs w:val="24"/>
        </w:rPr>
        <w:t>siguientes</w:t>
      </w:r>
      <w:r>
        <w:rPr>
          <w:rFonts w:ascii="Palatino Linotype" w:hAnsi="Palatino Linotype" w:cs="Arial"/>
          <w:sz w:val="24"/>
          <w:szCs w:val="24"/>
        </w:rPr>
        <w:t xml:space="preserve"> requisitos: </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La existencia de un juicio o procedimiento </w:t>
      </w:r>
      <w:r w:rsidR="003A6E65">
        <w:rPr>
          <w:rFonts w:ascii="Palatino Linotype" w:hAnsi="Palatino Linotype" w:cs="Arial"/>
          <w:sz w:val="24"/>
          <w:szCs w:val="24"/>
        </w:rPr>
        <w:t>administrativo</w:t>
      </w:r>
      <w:r>
        <w:rPr>
          <w:rFonts w:ascii="Palatino Linotype" w:hAnsi="Palatino Linotype" w:cs="Arial"/>
          <w:sz w:val="24"/>
          <w:szCs w:val="24"/>
        </w:rPr>
        <w:t xml:space="preserve"> </w:t>
      </w:r>
      <w:r w:rsidR="003A6E65">
        <w:rPr>
          <w:rFonts w:ascii="Palatino Linotype" w:hAnsi="Palatino Linotype" w:cs="Arial"/>
          <w:sz w:val="24"/>
          <w:szCs w:val="24"/>
        </w:rPr>
        <w:t>materialmente</w:t>
      </w:r>
      <w:r>
        <w:rPr>
          <w:rFonts w:ascii="Palatino Linotype" w:hAnsi="Palatino Linotype" w:cs="Arial"/>
          <w:sz w:val="24"/>
          <w:szCs w:val="24"/>
        </w:rPr>
        <w:t xml:space="preserve"> </w:t>
      </w:r>
      <w:r w:rsidR="003A6E65">
        <w:rPr>
          <w:rFonts w:ascii="Palatino Linotype" w:hAnsi="Palatino Linotype" w:cs="Arial"/>
          <w:sz w:val="24"/>
          <w:szCs w:val="24"/>
        </w:rPr>
        <w:t>jurisdiccional</w:t>
      </w:r>
      <w:r>
        <w:rPr>
          <w:rFonts w:ascii="Palatino Linotype" w:hAnsi="Palatino Linotype" w:cs="Arial"/>
          <w:sz w:val="24"/>
          <w:szCs w:val="24"/>
        </w:rPr>
        <w:t>.</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Que el juicio se encuentre en </w:t>
      </w:r>
      <w:r w:rsidR="003A6E65">
        <w:rPr>
          <w:rFonts w:ascii="Palatino Linotype" w:hAnsi="Palatino Linotype" w:cs="Arial"/>
          <w:sz w:val="24"/>
          <w:szCs w:val="24"/>
        </w:rPr>
        <w:t>trámite</w:t>
      </w:r>
      <w:r>
        <w:rPr>
          <w:rFonts w:ascii="Palatino Linotype" w:hAnsi="Palatino Linotype" w:cs="Arial"/>
          <w:sz w:val="24"/>
          <w:szCs w:val="24"/>
        </w:rPr>
        <w:t xml:space="preserve">, es decir, que no haya </w:t>
      </w:r>
      <w:r w:rsidR="003A6E65">
        <w:rPr>
          <w:rFonts w:ascii="Palatino Linotype" w:hAnsi="Palatino Linotype" w:cs="Arial"/>
          <w:sz w:val="24"/>
          <w:szCs w:val="24"/>
        </w:rPr>
        <w:t>causado</w:t>
      </w:r>
      <w:r>
        <w:rPr>
          <w:rFonts w:ascii="Palatino Linotype" w:hAnsi="Palatino Linotype" w:cs="Arial"/>
          <w:sz w:val="24"/>
          <w:szCs w:val="24"/>
        </w:rPr>
        <w:t xml:space="preserve"> estado. </w:t>
      </w:r>
    </w:p>
    <w:p w:rsidR="00FD22A2" w:rsidRDefault="00FD22A2"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t xml:space="preserve">El </w:t>
      </w:r>
      <w:r w:rsidR="003A6E65">
        <w:rPr>
          <w:rFonts w:ascii="Palatino Linotype" w:hAnsi="Palatino Linotype" w:cs="Arial"/>
          <w:sz w:val="24"/>
          <w:szCs w:val="24"/>
        </w:rPr>
        <w:t>vínculo</w:t>
      </w:r>
      <w:r>
        <w:rPr>
          <w:rFonts w:ascii="Palatino Linotype" w:hAnsi="Palatino Linotype" w:cs="Arial"/>
          <w:sz w:val="24"/>
          <w:szCs w:val="24"/>
        </w:rPr>
        <w:t xml:space="preserve"> entre la </w:t>
      </w:r>
      <w:r w:rsidR="003A6E65">
        <w:rPr>
          <w:rFonts w:ascii="Palatino Linotype" w:hAnsi="Palatino Linotype" w:cs="Arial"/>
          <w:sz w:val="24"/>
          <w:szCs w:val="24"/>
        </w:rPr>
        <w:t>información</w:t>
      </w:r>
      <w:r>
        <w:rPr>
          <w:rFonts w:ascii="Palatino Linotype" w:hAnsi="Palatino Linotype" w:cs="Arial"/>
          <w:sz w:val="24"/>
          <w:szCs w:val="24"/>
        </w:rPr>
        <w:t xml:space="preserve"> </w:t>
      </w:r>
      <w:r w:rsidR="003A6E65">
        <w:rPr>
          <w:rFonts w:ascii="Palatino Linotype" w:hAnsi="Palatino Linotype" w:cs="Arial"/>
          <w:sz w:val="24"/>
          <w:szCs w:val="24"/>
        </w:rPr>
        <w:t xml:space="preserve">solicitada y el procedimiento judicial de que se trate. </w:t>
      </w:r>
    </w:p>
    <w:p w:rsidR="003A6E65" w:rsidRDefault="003A6E65" w:rsidP="00FD22A2">
      <w:pPr>
        <w:pStyle w:val="Prrafodelista"/>
        <w:numPr>
          <w:ilvl w:val="0"/>
          <w:numId w:val="42"/>
        </w:num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Que la difusión de la </w:t>
      </w:r>
      <w:r w:rsidR="00164CF0">
        <w:rPr>
          <w:rFonts w:ascii="Palatino Linotype" w:hAnsi="Palatino Linotype" w:cs="Arial"/>
          <w:sz w:val="24"/>
          <w:szCs w:val="24"/>
        </w:rPr>
        <w:t>información</w:t>
      </w:r>
      <w:r>
        <w:rPr>
          <w:rFonts w:ascii="Palatino Linotype" w:hAnsi="Palatino Linotype" w:cs="Arial"/>
          <w:sz w:val="24"/>
          <w:szCs w:val="24"/>
        </w:rPr>
        <w:t xml:space="preserve"> pueda causar un daño y/o </w:t>
      </w:r>
      <w:r w:rsidR="00164CF0">
        <w:rPr>
          <w:rFonts w:ascii="Palatino Linotype" w:hAnsi="Palatino Linotype" w:cs="Arial"/>
          <w:sz w:val="24"/>
          <w:szCs w:val="24"/>
        </w:rPr>
        <w:t>perjuicio</w:t>
      </w:r>
      <w:r>
        <w:rPr>
          <w:rFonts w:ascii="Palatino Linotype" w:hAnsi="Palatino Linotype" w:cs="Arial"/>
          <w:sz w:val="24"/>
          <w:szCs w:val="24"/>
        </w:rPr>
        <w:t xml:space="preserve"> a las atribuciones del Tribunal durante el juicio; es decir, que el contenido de la </w:t>
      </w:r>
      <w:r w:rsidR="00164CF0">
        <w:rPr>
          <w:rFonts w:ascii="Palatino Linotype" w:hAnsi="Palatino Linotype" w:cs="Arial"/>
          <w:sz w:val="24"/>
          <w:szCs w:val="24"/>
        </w:rPr>
        <w:t>información</w:t>
      </w:r>
      <w:r>
        <w:rPr>
          <w:rFonts w:ascii="Palatino Linotype" w:hAnsi="Palatino Linotype" w:cs="Arial"/>
          <w:sz w:val="24"/>
          <w:szCs w:val="24"/>
        </w:rPr>
        <w:t xml:space="preserve"> </w:t>
      </w:r>
      <w:r w:rsidR="00164CF0">
        <w:rPr>
          <w:rFonts w:ascii="Palatino Linotype" w:hAnsi="Palatino Linotype" w:cs="Arial"/>
          <w:sz w:val="24"/>
          <w:szCs w:val="24"/>
        </w:rPr>
        <w:t>vulnere</w:t>
      </w:r>
      <w:r>
        <w:rPr>
          <w:rFonts w:ascii="Palatino Linotype" w:hAnsi="Palatino Linotype" w:cs="Arial"/>
          <w:sz w:val="24"/>
          <w:szCs w:val="24"/>
        </w:rPr>
        <w:t xml:space="preserve">, impida u </w:t>
      </w:r>
      <w:r w:rsidR="00164CF0">
        <w:rPr>
          <w:rFonts w:ascii="Palatino Linotype" w:hAnsi="Palatino Linotype" w:cs="Arial"/>
          <w:sz w:val="24"/>
          <w:szCs w:val="24"/>
        </w:rPr>
        <w:t>obstruya</w:t>
      </w:r>
      <w:r>
        <w:rPr>
          <w:rFonts w:ascii="Palatino Linotype" w:hAnsi="Palatino Linotype" w:cs="Arial"/>
          <w:sz w:val="24"/>
          <w:szCs w:val="24"/>
        </w:rPr>
        <w:t xml:space="preserve"> los </w:t>
      </w:r>
      <w:r w:rsidR="00344667">
        <w:rPr>
          <w:rFonts w:ascii="Palatino Linotype" w:hAnsi="Palatino Linotype" w:cs="Arial"/>
          <w:sz w:val="24"/>
          <w:szCs w:val="24"/>
        </w:rPr>
        <w:t>procedimientos</w:t>
      </w:r>
      <w:r>
        <w:rPr>
          <w:rFonts w:ascii="Palatino Linotype" w:hAnsi="Palatino Linotype" w:cs="Arial"/>
          <w:sz w:val="24"/>
          <w:szCs w:val="24"/>
        </w:rPr>
        <w:t xml:space="preserve"> que se ventilan. </w:t>
      </w:r>
    </w:p>
    <w:p w:rsidR="00344667" w:rsidRDefault="00344667" w:rsidP="00344667">
      <w:pPr>
        <w:pStyle w:val="Prrafodelista"/>
        <w:spacing w:line="360" w:lineRule="auto"/>
        <w:jc w:val="both"/>
        <w:rPr>
          <w:rFonts w:ascii="Palatino Linotype" w:hAnsi="Palatino Linotype" w:cs="Arial"/>
          <w:sz w:val="24"/>
          <w:szCs w:val="24"/>
        </w:rPr>
      </w:pPr>
    </w:p>
    <w:p w:rsidR="00FD22A2" w:rsidRDefault="00164CF0"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 xml:space="preserve">Por </w:t>
      </w:r>
      <w:r w:rsidR="00344667">
        <w:rPr>
          <w:rFonts w:ascii="Palatino Linotype" w:hAnsi="Palatino Linotype" w:cs="Arial"/>
          <w:sz w:val="24"/>
          <w:szCs w:val="24"/>
        </w:rPr>
        <w:t>consiguiente</w:t>
      </w:r>
      <w:r>
        <w:rPr>
          <w:rFonts w:ascii="Palatino Linotype" w:hAnsi="Palatino Linotype" w:cs="Arial"/>
          <w:sz w:val="24"/>
          <w:szCs w:val="24"/>
        </w:rPr>
        <w:t xml:space="preserve">, </w:t>
      </w:r>
      <w:r w:rsidR="00344667">
        <w:rPr>
          <w:rFonts w:ascii="Palatino Linotype" w:hAnsi="Palatino Linotype" w:cs="Arial"/>
          <w:sz w:val="24"/>
          <w:szCs w:val="24"/>
        </w:rPr>
        <w:t>el Sujeto Obligado</w:t>
      </w:r>
      <w:r>
        <w:rPr>
          <w:rFonts w:ascii="Palatino Linotype" w:hAnsi="Palatino Linotype" w:cs="Arial"/>
          <w:sz w:val="24"/>
          <w:szCs w:val="24"/>
        </w:rPr>
        <w:t xml:space="preserve"> deberá de analizar cada uno de los requisitos </w:t>
      </w:r>
      <w:r w:rsidR="00344667">
        <w:rPr>
          <w:rFonts w:ascii="Palatino Linotype" w:hAnsi="Palatino Linotype" w:cs="Arial"/>
          <w:sz w:val="24"/>
          <w:szCs w:val="24"/>
        </w:rPr>
        <w:t>anteriormente</w:t>
      </w:r>
      <w:r>
        <w:rPr>
          <w:rFonts w:ascii="Palatino Linotype" w:hAnsi="Palatino Linotype" w:cs="Arial"/>
          <w:sz w:val="24"/>
          <w:szCs w:val="24"/>
        </w:rPr>
        <w:t xml:space="preserve"> </w:t>
      </w:r>
      <w:r w:rsidR="00344667">
        <w:rPr>
          <w:rFonts w:ascii="Palatino Linotype" w:hAnsi="Palatino Linotype" w:cs="Arial"/>
          <w:sz w:val="24"/>
          <w:szCs w:val="24"/>
        </w:rPr>
        <w:t>señalados</w:t>
      </w:r>
      <w:r>
        <w:rPr>
          <w:rFonts w:ascii="Palatino Linotype" w:hAnsi="Palatino Linotype" w:cs="Arial"/>
          <w:sz w:val="24"/>
          <w:szCs w:val="24"/>
        </w:rPr>
        <w:t xml:space="preserve">, con la finalidad de </w:t>
      </w:r>
      <w:r w:rsidR="00344667">
        <w:rPr>
          <w:rFonts w:ascii="Palatino Linotype" w:hAnsi="Palatino Linotype" w:cs="Arial"/>
          <w:sz w:val="24"/>
          <w:szCs w:val="24"/>
        </w:rPr>
        <w:t>determinar</w:t>
      </w:r>
      <w:r>
        <w:rPr>
          <w:rFonts w:ascii="Palatino Linotype" w:hAnsi="Palatino Linotype" w:cs="Arial"/>
          <w:sz w:val="24"/>
          <w:szCs w:val="24"/>
        </w:rPr>
        <w:t xml:space="preserve"> si se configura la hipótesis de reserva. </w:t>
      </w:r>
    </w:p>
    <w:p w:rsidR="00A51AE3" w:rsidRDefault="00A51AE3" w:rsidP="00A51AE3">
      <w:pPr>
        <w:pStyle w:val="Prrafodelista"/>
        <w:spacing w:line="360" w:lineRule="auto"/>
        <w:ind w:left="360"/>
        <w:jc w:val="both"/>
        <w:rPr>
          <w:rFonts w:ascii="Palatino Linotype" w:hAnsi="Palatino Linotype" w:cs="Arial"/>
          <w:sz w:val="24"/>
          <w:szCs w:val="24"/>
        </w:rPr>
      </w:pPr>
    </w:p>
    <w:p w:rsidR="000C4400" w:rsidRDefault="000C4400" w:rsidP="00A575F3">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 xml:space="preserve">Ya que si bien, el derecho de acceso a la información no es </w:t>
      </w:r>
      <w:r w:rsidR="00664FC5">
        <w:rPr>
          <w:rFonts w:ascii="Palatino Linotype" w:hAnsi="Palatino Linotype" w:cs="Arial"/>
          <w:sz w:val="24"/>
          <w:szCs w:val="24"/>
        </w:rPr>
        <w:t>absoluto</w:t>
      </w:r>
      <w:r>
        <w:rPr>
          <w:rFonts w:ascii="Palatino Linotype" w:hAnsi="Palatino Linotype" w:cs="Arial"/>
          <w:sz w:val="24"/>
          <w:szCs w:val="24"/>
        </w:rPr>
        <w:t>, también lo es que los parti</w:t>
      </w:r>
      <w:r w:rsidR="00664FC5">
        <w:rPr>
          <w:rFonts w:ascii="Palatino Linotype" w:hAnsi="Palatino Linotype" w:cs="Arial"/>
          <w:sz w:val="24"/>
          <w:szCs w:val="24"/>
        </w:rPr>
        <w:t>culares tienen derecho a accede</w:t>
      </w:r>
      <w:r>
        <w:rPr>
          <w:rFonts w:ascii="Palatino Linotype" w:hAnsi="Palatino Linotype" w:cs="Arial"/>
          <w:sz w:val="24"/>
          <w:szCs w:val="24"/>
        </w:rPr>
        <w:t>r</w:t>
      </w:r>
      <w:r w:rsidR="00664FC5">
        <w:rPr>
          <w:rFonts w:ascii="Palatino Linotype" w:hAnsi="Palatino Linotype" w:cs="Arial"/>
          <w:sz w:val="24"/>
          <w:szCs w:val="24"/>
        </w:rPr>
        <w:t xml:space="preserve"> </w:t>
      </w:r>
      <w:r>
        <w:rPr>
          <w:rFonts w:ascii="Palatino Linotype" w:hAnsi="Palatino Linotype" w:cs="Arial"/>
          <w:sz w:val="24"/>
          <w:szCs w:val="24"/>
        </w:rPr>
        <w:t xml:space="preserve">a </w:t>
      </w:r>
      <w:r w:rsidR="00664FC5">
        <w:rPr>
          <w:rFonts w:ascii="Palatino Linotype" w:hAnsi="Palatino Linotype" w:cs="Arial"/>
          <w:sz w:val="24"/>
          <w:szCs w:val="24"/>
        </w:rPr>
        <w:t>información</w:t>
      </w:r>
      <w:r>
        <w:rPr>
          <w:rFonts w:ascii="Palatino Linotype" w:hAnsi="Palatino Linotype" w:cs="Arial"/>
          <w:sz w:val="24"/>
          <w:szCs w:val="24"/>
        </w:rPr>
        <w:t xml:space="preserve"> </w:t>
      </w:r>
      <w:r w:rsidR="00664FC5">
        <w:rPr>
          <w:rFonts w:ascii="Palatino Linotype" w:hAnsi="Palatino Linotype" w:cs="Arial"/>
          <w:sz w:val="24"/>
          <w:szCs w:val="24"/>
        </w:rPr>
        <w:t>pública</w:t>
      </w:r>
      <w:r>
        <w:rPr>
          <w:rFonts w:ascii="Palatino Linotype" w:hAnsi="Palatino Linotype" w:cs="Arial"/>
          <w:sz w:val="24"/>
          <w:szCs w:val="24"/>
        </w:rPr>
        <w:t xml:space="preserve">, y </w:t>
      </w:r>
      <w:r w:rsidR="00664FC5">
        <w:rPr>
          <w:rFonts w:ascii="Palatino Linotype" w:hAnsi="Palatino Linotype" w:cs="Arial"/>
          <w:sz w:val="24"/>
          <w:szCs w:val="24"/>
        </w:rPr>
        <w:t>específicamente</w:t>
      </w:r>
      <w:r>
        <w:rPr>
          <w:rFonts w:ascii="Palatino Linotype" w:hAnsi="Palatino Linotype" w:cs="Arial"/>
          <w:sz w:val="24"/>
          <w:szCs w:val="24"/>
        </w:rPr>
        <w:t xml:space="preserve"> cuanto se trate de </w:t>
      </w:r>
      <w:r w:rsidR="00664FC5">
        <w:rPr>
          <w:rFonts w:ascii="Palatino Linotype" w:hAnsi="Palatino Linotype" w:cs="Arial"/>
          <w:sz w:val="24"/>
          <w:szCs w:val="24"/>
        </w:rPr>
        <w:t>reservar</w:t>
      </w:r>
      <w:r>
        <w:rPr>
          <w:rFonts w:ascii="Palatino Linotype" w:hAnsi="Palatino Linotype" w:cs="Arial"/>
          <w:sz w:val="24"/>
          <w:szCs w:val="24"/>
        </w:rPr>
        <w:t xml:space="preserve"> la </w:t>
      </w:r>
      <w:r w:rsidR="00664FC5">
        <w:rPr>
          <w:rFonts w:ascii="Palatino Linotype" w:hAnsi="Palatino Linotype" w:cs="Arial"/>
          <w:sz w:val="24"/>
          <w:szCs w:val="24"/>
        </w:rPr>
        <w:t>información</w:t>
      </w:r>
      <w:r>
        <w:rPr>
          <w:rFonts w:ascii="Palatino Linotype" w:hAnsi="Palatino Linotype" w:cs="Arial"/>
          <w:sz w:val="24"/>
          <w:szCs w:val="24"/>
        </w:rPr>
        <w:t xml:space="preserve">, el </w:t>
      </w:r>
      <w:r w:rsidR="00664FC5">
        <w:rPr>
          <w:rFonts w:ascii="Palatino Linotype" w:hAnsi="Palatino Linotype" w:cs="Arial"/>
          <w:sz w:val="24"/>
          <w:szCs w:val="24"/>
        </w:rPr>
        <w:t xml:space="preserve">Sujeto Obligado </w:t>
      </w:r>
      <w:r>
        <w:rPr>
          <w:rFonts w:ascii="Palatino Linotype" w:hAnsi="Palatino Linotype" w:cs="Arial"/>
          <w:sz w:val="24"/>
          <w:szCs w:val="24"/>
        </w:rPr>
        <w:t xml:space="preserve">deberá de </w:t>
      </w:r>
      <w:r w:rsidR="00664FC5">
        <w:rPr>
          <w:rFonts w:ascii="Palatino Linotype" w:hAnsi="Palatino Linotype" w:cs="Arial"/>
          <w:sz w:val="24"/>
          <w:szCs w:val="24"/>
        </w:rPr>
        <w:t>corroborar</w:t>
      </w:r>
      <w:r>
        <w:rPr>
          <w:rFonts w:ascii="Palatino Linotype" w:hAnsi="Palatino Linotype" w:cs="Arial"/>
          <w:sz w:val="24"/>
          <w:szCs w:val="24"/>
        </w:rPr>
        <w:t xml:space="preserve"> que se actualice </w:t>
      </w:r>
      <w:r w:rsidR="00664FC5">
        <w:rPr>
          <w:rFonts w:ascii="Palatino Linotype" w:hAnsi="Palatino Linotype" w:cs="Arial"/>
          <w:sz w:val="24"/>
          <w:szCs w:val="24"/>
        </w:rPr>
        <w:t>alguno</w:t>
      </w:r>
      <w:r>
        <w:rPr>
          <w:rFonts w:ascii="Palatino Linotype" w:hAnsi="Palatino Linotype" w:cs="Arial"/>
          <w:sz w:val="24"/>
          <w:szCs w:val="24"/>
        </w:rPr>
        <w:t xml:space="preserve"> de los supuestos </w:t>
      </w:r>
      <w:r w:rsidR="00664FC5">
        <w:rPr>
          <w:rFonts w:ascii="Palatino Linotype" w:hAnsi="Palatino Linotype" w:cs="Arial"/>
          <w:sz w:val="24"/>
          <w:szCs w:val="24"/>
        </w:rPr>
        <w:t>anteriormente</w:t>
      </w:r>
      <w:r>
        <w:rPr>
          <w:rFonts w:ascii="Palatino Linotype" w:hAnsi="Palatino Linotype" w:cs="Arial"/>
          <w:sz w:val="24"/>
          <w:szCs w:val="24"/>
        </w:rPr>
        <w:t xml:space="preserve"> señalados, ya que su </w:t>
      </w:r>
      <w:r w:rsidR="00664FC5">
        <w:rPr>
          <w:rFonts w:ascii="Palatino Linotype" w:hAnsi="Palatino Linotype" w:cs="Arial"/>
          <w:sz w:val="24"/>
          <w:szCs w:val="24"/>
        </w:rPr>
        <w:t>difusión</w:t>
      </w:r>
      <w:r>
        <w:rPr>
          <w:rFonts w:ascii="Palatino Linotype" w:hAnsi="Palatino Linotype" w:cs="Arial"/>
          <w:sz w:val="24"/>
          <w:szCs w:val="24"/>
        </w:rPr>
        <w:t xml:space="preserve"> puede dar cabal atención al citado derecho pero </w:t>
      </w:r>
      <w:r w:rsidR="00664FC5">
        <w:rPr>
          <w:rFonts w:ascii="Palatino Linotype" w:hAnsi="Palatino Linotype" w:cs="Arial"/>
          <w:sz w:val="24"/>
          <w:szCs w:val="24"/>
        </w:rPr>
        <w:t>también</w:t>
      </w:r>
      <w:r>
        <w:rPr>
          <w:rFonts w:ascii="Palatino Linotype" w:hAnsi="Palatino Linotype" w:cs="Arial"/>
          <w:sz w:val="24"/>
          <w:szCs w:val="24"/>
        </w:rPr>
        <w:t xml:space="preserve"> es dar a</w:t>
      </w:r>
      <w:r w:rsidR="00664FC5">
        <w:rPr>
          <w:rFonts w:ascii="Palatino Linotype" w:hAnsi="Palatino Linotype" w:cs="Arial"/>
          <w:sz w:val="24"/>
          <w:szCs w:val="24"/>
        </w:rPr>
        <w:t xml:space="preserve"> conocer el antecedente y/o cronología de un asunto en particular que se requiere. </w:t>
      </w:r>
    </w:p>
    <w:p w:rsidR="00664FC5" w:rsidRDefault="00664FC5" w:rsidP="00664FC5">
      <w:pPr>
        <w:pStyle w:val="Prrafodelista"/>
        <w:spacing w:line="360" w:lineRule="auto"/>
        <w:ind w:left="360"/>
        <w:jc w:val="both"/>
        <w:rPr>
          <w:rFonts w:ascii="Palatino Linotype" w:hAnsi="Palatino Linotype" w:cs="Arial"/>
          <w:sz w:val="24"/>
          <w:szCs w:val="24"/>
        </w:rPr>
      </w:pPr>
    </w:p>
    <w:p w:rsidR="00664FC5" w:rsidRDefault="00664FC5" w:rsidP="00664FC5">
      <w:pPr>
        <w:pStyle w:val="Prrafodelista"/>
        <w:spacing w:line="360" w:lineRule="auto"/>
        <w:ind w:left="360"/>
        <w:jc w:val="both"/>
        <w:rPr>
          <w:rFonts w:ascii="Palatino Linotype" w:hAnsi="Palatino Linotype" w:cs="Arial"/>
          <w:sz w:val="24"/>
          <w:szCs w:val="24"/>
        </w:rPr>
      </w:pPr>
    </w:p>
    <w:p w:rsidR="00DA52E0" w:rsidRDefault="00DA52E0" w:rsidP="00DA52E0">
      <w:pPr>
        <w:spacing w:after="0" w:line="360" w:lineRule="auto"/>
        <w:contextualSpacing/>
        <w:jc w:val="both"/>
        <w:rPr>
          <w:rFonts w:ascii="Palatino Linotype" w:hAnsi="Palatino Linotype" w:cs="Arial"/>
          <w:szCs w:val="24"/>
        </w:rPr>
      </w:pPr>
    </w:p>
    <w:p w:rsidR="000A1D52" w:rsidRPr="00BE6935" w:rsidRDefault="000A1D52" w:rsidP="00DA52E0">
      <w:pPr>
        <w:spacing w:after="0" w:line="360" w:lineRule="auto"/>
        <w:contextualSpacing/>
        <w:jc w:val="both"/>
        <w:rPr>
          <w:rFonts w:ascii="Palatino Linotype" w:hAnsi="Palatino Linotype" w:cs="Arial"/>
          <w:szCs w:val="24"/>
        </w:rPr>
      </w:pPr>
    </w:p>
    <w:p w:rsidR="00DA52E0" w:rsidRP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JOSÉ GUADALUPE LUNA HERNÁNDEZ</w:t>
      </w:r>
    </w:p>
    <w:p w:rsidR="00DA52E0" w:rsidRP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COMISIONADO</w:t>
      </w:r>
    </w:p>
    <w:p w:rsidR="00BE6935" w:rsidRDefault="00DA52E0" w:rsidP="00BE6935">
      <w:pPr>
        <w:spacing w:after="0" w:line="360" w:lineRule="auto"/>
        <w:jc w:val="center"/>
        <w:rPr>
          <w:rFonts w:ascii="Palatino Linotype" w:eastAsia="Calibri" w:hAnsi="Palatino Linotype" w:cs="Arial"/>
          <w:b/>
          <w:sz w:val="24"/>
          <w:szCs w:val="24"/>
        </w:rPr>
      </w:pPr>
      <w:r w:rsidRPr="00BE6935">
        <w:rPr>
          <w:rFonts w:ascii="Palatino Linotype" w:eastAsia="Calibri" w:hAnsi="Palatino Linotype" w:cs="Arial"/>
          <w:b/>
          <w:sz w:val="24"/>
          <w:szCs w:val="24"/>
        </w:rPr>
        <w:t>(Rúbrica)</w:t>
      </w:r>
    </w:p>
    <w:p w:rsidR="00DA52E0" w:rsidRPr="00BE6935" w:rsidRDefault="00DA52E0" w:rsidP="00BE6935">
      <w:pPr>
        <w:spacing w:line="360" w:lineRule="auto"/>
        <w:rPr>
          <w:rFonts w:ascii="Palatino Linotype" w:hAnsi="Palatino Linotype"/>
          <w:b/>
          <w:sz w:val="16"/>
        </w:rPr>
      </w:pPr>
      <w:r w:rsidRPr="00BE6935">
        <w:rPr>
          <w:rFonts w:ascii="Palatino Linotype" w:eastAsia="Calibri" w:hAnsi="Palatino Linotype" w:cs="Arial"/>
          <w:b/>
          <w:sz w:val="16"/>
          <w:szCs w:val="24"/>
        </w:rPr>
        <w:t>JGLH/MAG</w:t>
      </w:r>
    </w:p>
    <w:sectPr w:rsidR="00DA52E0" w:rsidRPr="00BE6935" w:rsidSect="007D6BEA">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3CF" w:rsidRDefault="009673CF" w:rsidP="00E706DA">
      <w:pPr>
        <w:spacing w:after="0" w:line="240" w:lineRule="auto"/>
      </w:pPr>
      <w:r>
        <w:separator/>
      </w:r>
    </w:p>
  </w:endnote>
  <w:endnote w:type="continuationSeparator" w:id="0">
    <w:p w:rsidR="009673CF" w:rsidRDefault="009673C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A575F3" w:rsidRDefault="00A575F3">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15C84">
              <w:rPr>
                <w:rFonts w:ascii="Palatino Linotype" w:hAnsi="Palatino Linotype"/>
                <w:b/>
                <w:bCs/>
                <w:noProof/>
                <w:sz w:val="20"/>
                <w:szCs w:val="20"/>
              </w:rPr>
              <w:t>3</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15C84">
              <w:rPr>
                <w:rFonts w:ascii="Palatino Linotype" w:hAnsi="Palatino Linotype"/>
                <w:b/>
                <w:bCs/>
                <w:noProof/>
                <w:sz w:val="20"/>
                <w:szCs w:val="20"/>
              </w:rPr>
              <w:t>33</w:t>
            </w:r>
            <w:r w:rsidRPr="0052203D">
              <w:rPr>
                <w:rFonts w:ascii="Palatino Linotype" w:hAnsi="Palatino Linotype"/>
                <w:b/>
                <w:bCs/>
                <w:sz w:val="20"/>
                <w:szCs w:val="20"/>
              </w:rPr>
              <w:fldChar w:fldCharType="end"/>
            </w:r>
          </w:p>
        </w:sdtContent>
      </w:sdt>
    </w:sdtContent>
  </w:sdt>
  <w:p w:rsidR="00A575F3" w:rsidRDefault="00A575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A575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3CF" w:rsidRDefault="009673CF" w:rsidP="00E706DA">
      <w:pPr>
        <w:spacing w:after="0" w:line="240" w:lineRule="auto"/>
      </w:pPr>
      <w:r>
        <w:separator/>
      </w:r>
    </w:p>
  </w:footnote>
  <w:footnote w:type="continuationSeparator" w:id="0">
    <w:p w:rsidR="009673CF" w:rsidRDefault="009673CF" w:rsidP="00E706DA">
      <w:pPr>
        <w:spacing w:after="0" w:line="240" w:lineRule="auto"/>
      </w:pPr>
      <w:r>
        <w:continuationSeparator/>
      </w:r>
    </w:p>
  </w:footnote>
  <w:footnote w:id="1">
    <w:p w:rsidR="00A575F3" w:rsidRDefault="00A575F3" w:rsidP="00985973">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A575F3" w:rsidRPr="00266430" w:rsidRDefault="00A575F3" w:rsidP="00985973">
      <w:pPr>
        <w:pStyle w:val="Textonotapie"/>
        <w:jc w:val="both"/>
      </w:pPr>
      <w:r w:rsidRPr="00266430">
        <w:t xml:space="preserve">1a./J. 2/2012 (9a.). Primera Sala. Décima Época. Semanario Judicial de la Federación y su Gaceta. Libro V, Febrero de 2012, Pág. 533.  </w:t>
      </w:r>
    </w:p>
  </w:footnote>
  <w:footnote w:id="2">
    <w:p w:rsidR="00A575F3" w:rsidRPr="00A870EF" w:rsidRDefault="00A575F3" w:rsidP="00985973">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A575F3" w:rsidRDefault="00A575F3" w:rsidP="0098597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575F3" w:rsidRDefault="00A575F3" w:rsidP="0098597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575F3" w:rsidRPr="001E1F95" w:rsidRDefault="00A575F3" w:rsidP="0098597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A575F3" w:rsidRPr="0037004E" w:rsidRDefault="00A575F3" w:rsidP="00985973">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A575F3" w:rsidRDefault="00A575F3" w:rsidP="00985973">
      <w:pPr>
        <w:pStyle w:val="Textonotapie"/>
        <w:jc w:val="both"/>
      </w:pPr>
      <w:r>
        <w:rPr>
          <w:rStyle w:val="Refdenotaalpie"/>
        </w:rPr>
        <w:footnoteRef/>
      </w:r>
      <w:r>
        <w:t xml:space="preserve"> Artículo 3. Para los efectos de la presente Ley se entenderá por:</w:t>
      </w:r>
    </w:p>
    <w:p w:rsidR="00A575F3" w:rsidRDefault="00A575F3" w:rsidP="00985973">
      <w:pPr>
        <w:pStyle w:val="Textonotapie"/>
        <w:jc w:val="both"/>
      </w:pPr>
      <w:r>
        <w:t xml:space="preserve"> (…)</w:t>
      </w:r>
    </w:p>
    <w:p w:rsidR="00A575F3" w:rsidRDefault="00A575F3" w:rsidP="00985973">
      <w:pPr>
        <w:pStyle w:val="Textonotapie"/>
        <w:jc w:val="both"/>
      </w:pPr>
      <w:r>
        <w:t>IX. Datos personales: La información concerniente a una persona, identificada o identificable según lo dispuesto por la Ley de Protección de Datos Personales del Estado de México;</w:t>
      </w:r>
    </w:p>
  </w:footnote>
  <w:footnote w:id="6">
    <w:p w:rsidR="00A575F3" w:rsidRPr="00ED2A04" w:rsidRDefault="00A575F3" w:rsidP="00985973">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7">
    <w:p w:rsidR="00A575F3" w:rsidRPr="00ED2A04" w:rsidRDefault="00A575F3" w:rsidP="00985973">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8">
    <w:p w:rsidR="00A575F3" w:rsidRPr="000406A4" w:rsidRDefault="00A575F3" w:rsidP="00985973">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9">
    <w:p w:rsidR="00A575F3" w:rsidRPr="000406A4" w:rsidRDefault="00A575F3" w:rsidP="00985973">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0">
    <w:p w:rsidR="00A575F3" w:rsidRPr="000406A4" w:rsidRDefault="00A575F3" w:rsidP="00985973">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1">
    <w:p w:rsidR="00A575F3" w:rsidRPr="000406A4" w:rsidRDefault="00A575F3" w:rsidP="00985973">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2">
    <w:p w:rsidR="00A575F3" w:rsidRPr="000406A4" w:rsidRDefault="00A575F3" w:rsidP="00985973">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3">
    <w:p w:rsidR="00A575F3" w:rsidRPr="00AF123A" w:rsidRDefault="00A575F3" w:rsidP="00985973">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Lluy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4">
    <w:p w:rsidR="00A575F3" w:rsidRPr="00A4142C" w:rsidRDefault="00A575F3" w:rsidP="00985973">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9673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9673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A575F3" w:rsidRDefault="00A575F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F3" w:rsidRDefault="009673C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107F3B"/>
    <w:multiLevelType w:val="hybridMultilevel"/>
    <w:tmpl w:val="65283F5E"/>
    <w:lvl w:ilvl="0" w:tplc="080A001B">
      <w:start w:val="1"/>
      <w:numFmt w:val="low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138AE"/>
    <w:multiLevelType w:val="hybridMultilevel"/>
    <w:tmpl w:val="C9D802AA"/>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C355A07"/>
    <w:multiLevelType w:val="hybridMultilevel"/>
    <w:tmpl w:val="BF5C9C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A5D92"/>
    <w:multiLevelType w:val="hybridMultilevel"/>
    <w:tmpl w:val="432EB400"/>
    <w:lvl w:ilvl="0" w:tplc="6C1E3E88">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81D17"/>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D31C31"/>
    <w:multiLevelType w:val="hybridMultilevel"/>
    <w:tmpl w:val="AAE0C1D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
  </w:num>
  <w:num w:numId="3">
    <w:abstractNumId w:val="13"/>
  </w:num>
  <w:num w:numId="4">
    <w:abstractNumId w:val="17"/>
  </w:num>
  <w:num w:numId="5">
    <w:abstractNumId w:val="24"/>
  </w:num>
  <w:num w:numId="6">
    <w:abstractNumId w:val="26"/>
  </w:num>
  <w:num w:numId="7">
    <w:abstractNumId w:val="34"/>
  </w:num>
  <w:num w:numId="8">
    <w:abstractNumId w:val="33"/>
  </w:num>
  <w:num w:numId="9">
    <w:abstractNumId w:val="37"/>
  </w:num>
  <w:num w:numId="10">
    <w:abstractNumId w:val="3"/>
  </w:num>
  <w:num w:numId="11">
    <w:abstractNumId w:val="36"/>
  </w:num>
  <w:num w:numId="12">
    <w:abstractNumId w:val="14"/>
  </w:num>
  <w:num w:numId="13">
    <w:abstractNumId w:val="7"/>
  </w:num>
  <w:num w:numId="14">
    <w:abstractNumId w:val="12"/>
  </w:num>
  <w:num w:numId="15">
    <w:abstractNumId w:val="28"/>
  </w:num>
  <w:num w:numId="16">
    <w:abstractNumId w:val="0"/>
  </w:num>
  <w:num w:numId="17">
    <w:abstractNumId w:val="6"/>
  </w:num>
  <w:num w:numId="18">
    <w:abstractNumId w:val="41"/>
  </w:num>
  <w:num w:numId="19">
    <w:abstractNumId w:val="10"/>
  </w:num>
  <w:num w:numId="20">
    <w:abstractNumId w:val="32"/>
  </w:num>
  <w:num w:numId="21">
    <w:abstractNumId w:val="21"/>
  </w:num>
  <w:num w:numId="22">
    <w:abstractNumId w:val="19"/>
  </w:num>
  <w:num w:numId="23">
    <w:abstractNumId w:val="9"/>
  </w:num>
  <w:num w:numId="24">
    <w:abstractNumId w:val="18"/>
  </w:num>
  <w:num w:numId="25">
    <w:abstractNumId w:val="35"/>
  </w:num>
  <w:num w:numId="26">
    <w:abstractNumId w:val="29"/>
  </w:num>
  <w:num w:numId="27">
    <w:abstractNumId w:val="1"/>
  </w:num>
  <w:num w:numId="28">
    <w:abstractNumId w:val="39"/>
  </w:num>
  <w:num w:numId="29">
    <w:abstractNumId w:val="15"/>
  </w:num>
  <w:num w:numId="30">
    <w:abstractNumId w:val="30"/>
  </w:num>
  <w:num w:numId="31">
    <w:abstractNumId w:val="22"/>
  </w:num>
  <w:num w:numId="32">
    <w:abstractNumId w:val="31"/>
  </w:num>
  <w:num w:numId="33">
    <w:abstractNumId w:val="23"/>
  </w:num>
  <w:num w:numId="34">
    <w:abstractNumId w:val="5"/>
  </w:num>
  <w:num w:numId="35">
    <w:abstractNumId w:val="8"/>
  </w:num>
  <w:num w:numId="36">
    <w:abstractNumId w:val="4"/>
  </w:num>
  <w:num w:numId="37">
    <w:abstractNumId w:val="11"/>
  </w:num>
  <w:num w:numId="38">
    <w:abstractNumId w:val="4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5315C"/>
    <w:rsid w:val="00072966"/>
    <w:rsid w:val="00073F0D"/>
    <w:rsid w:val="000810AB"/>
    <w:rsid w:val="000951B4"/>
    <w:rsid w:val="000A1D52"/>
    <w:rsid w:val="000A3369"/>
    <w:rsid w:val="000A77B5"/>
    <w:rsid w:val="000A7B66"/>
    <w:rsid w:val="000B2003"/>
    <w:rsid w:val="000B7C6E"/>
    <w:rsid w:val="000C4400"/>
    <w:rsid w:val="000D7900"/>
    <w:rsid w:val="000F6CBB"/>
    <w:rsid w:val="00113B05"/>
    <w:rsid w:val="00122625"/>
    <w:rsid w:val="00143343"/>
    <w:rsid w:val="0015651D"/>
    <w:rsid w:val="00164CF0"/>
    <w:rsid w:val="00164F1E"/>
    <w:rsid w:val="001923C0"/>
    <w:rsid w:val="00194B6A"/>
    <w:rsid w:val="001B44E8"/>
    <w:rsid w:val="001B664C"/>
    <w:rsid w:val="001D2906"/>
    <w:rsid w:val="001D3F34"/>
    <w:rsid w:val="0020315F"/>
    <w:rsid w:val="002036ED"/>
    <w:rsid w:val="00225026"/>
    <w:rsid w:val="002372DA"/>
    <w:rsid w:val="00260D6C"/>
    <w:rsid w:val="002620E9"/>
    <w:rsid w:val="002624B2"/>
    <w:rsid w:val="00281310"/>
    <w:rsid w:val="002C0734"/>
    <w:rsid w:val="002C1F75"/>
    <w:rsid w:val="002F000B"/>
    <w:rsid w:val="00300B98"/>
    <w:rsid w:val="00344667"/>
    <w:rsid w:val="003468C7"/>
    <w:rsid w:val="00346DBD"/>
    <w:rsid w:val="00367E00"/>
    <w:rsid w:val="003705BB"/>
    <w:rsid w:val="003747A5"/>
    <w:rsid w:val="00377F9C"/>
    <w:rsid w:val="003A6E65"/>
    <w:rsid w:val="003C7100"/>
    <w:rsid w:val="003C7244"/>
    <w:rsid w:val="003D7273"/>
    <w:rsid w:val="003D7B9E"/>
    <w:rsid w:val="0040354A"/>
    <w:rsid w:val="00412952"/>
    <w:rsid w:val="0042094D"/>
    <w:rsid w:val="0042345D"/>
    <w:rsid w:val="00424DE3"/>
    <w:rsid w:val="00444048"/>
    <w:rsid w:val="0044515E"/>
    <w:rsid w:val="0046491C"/>
    <w:rsid w:val="004802BA"/>
    <w:rsid w:val="00483DF5"/>
    <w:rsid w:val="0048490F"/>
    <w:rsid w:val="0049058E"/>
    <w:rsid w:val="004E0267"/>
    <w:rsid w:val="004F01EC"/>
    <w:rsid w:val="00515F11"/>
    <w:rsid w:val="00532410"/>
    <w:rsid w:val="00546812"/>
    <w:rsid w:val="00567EC1"/>
    <w:rsid w:val="00575478"/>
    <w:rsid w:val="00587A4C"/>
    <w:rsid w:val="005917FA"/>
    <w:rsid w:val="005A15E9"/>
    <w:rsid w:val="005A3267"/>
    <w:rsid w:val="00616B05"/>
    <w:rsid w:val="006239A7"/>
    <w:rsid w:val="00634736"/>
    <w:rsid w:val="00664FC5"/>
    <w:rsid w:val="006728FD"/>
    <w:rsid w:val="0069498B"/>
    <w:rsid w:val="006D268B"/>
    <w:rsid w:val="00716CD7"/>
    <w:rsid w:val="00717C0D"/>
    <w:rsid w:val="0072136B"/>
    <w:rsid w:val="00746812"/>
    <w:rsid w:val="0076241F"/>
    <w:rsid w:val="00770016"/>
    <w:rsid w:val="00790E37"/>
    <w:rsid w:val="007A378A"/>
    <w:rsid w:val="007A7FAD"/>
    <w:rsid w:val="007B721A"/>
    <w:rsid w:val="007C5739"/>
    <w:rsid w:val="007D6BEA"/>
    <w:rsid w:val="00814A43"/>
    <w:rsid w:val="00814E97"/>
    <w:rsid w:val="008361CA"/>
    <w:rsid w:val="00836474"/>
    <w:rsid w:val="008370F1"/>
    <w:rsid w:val="00850252"/>
    <w:rsid w:val="00856FA1"/>
    <w:rsid w:val="00871CB0"/>
    <w:rsid w:val="00872522"/>
    <w:rsid w:val="008822B3"/>
    <w:rsid w:val="008911CF"/>
    <w:rsid w:val="008920A8"/>
    <w:rsid w:val="008A3D2D"/>
    <w:rsid w:val="008A50BB"/>
    <w:rsid w:val="008B03B6"/>
    <w:rsid w:val="008E1DCC"/>
    <w:rsid w:val="008F3E81"/>
    <w:rsid w:val="00900E75"/>
    <w:rsid w:val="00902248"/>
    <w:rsid w:val="009156AC"/>
    <w:rsid w:val="0093177C"/>
    <w:rsid w:val="00933200"/>
    <w:rsid w:val="0093458D"/>
    <w:rsid w:val="00937D7D"/>
    <w:rsid w:val="0094239C"/>
    <w:rsid w:val="0095525C"/>
    <w:rsid w:val="009673CF"/>
    <w:rsid w:val="009757BB"/>
    <w:rsid w:val="0097582C"/>
    <w:rsid w:val="00985973"/>
    <w:rsid w:val="00987663"/>
    <w:rsid w:val="009A0DD8"/>
    <w:rsid w:val="009C4EF6"/>
    <w:rsid w:val="00A07EF4"/>
    <w:rsid w:val="00A26E97"/>
    <w:rsid w:val="00A31633"/>
    <w:rsid w:val="00A51AE3"/>
    <w:rsid w:val="00A54D9D"/>
    <w:rsid w:val="00A575F3"/>
    <w:rsid w:val="00A626F8"/>
    <w:rsid w:val="00A63717"/>
    <w:rsid w:val="00A754F9"/>
    <w:rsid w:val="00AA49F3"/>
    <w:rsid w:val="00AB023D"/>
    <w:rsid w:val="00AB126B"/>
    <w:rsid w:val="00AC381E"/>
    <w:rsid w:val="00AC430A"/>
    <w:rsid w:val="00AD16A9"/>
    <w:rsid w:val="00AE4797"/>
    <w:rsid w:val="00B120CA"/>
    <w:rsid w:val="00B25F2D"/>
    <w:rsid w:val="00B36046"/>
    <w:rsid w:val="00B55967"/>
    <w:rsid w:val="00BA3743"/>
    <w:rsid w:val="00BB22FB"/>
    <w:rsid w:val="00BB5E12"/>
    <w:rsid w:val="00BC7B0C"/>
    <w:rsid w:val="00BE555F"/>
    <w:rsid w:val="00BE6935"/>
    <w:rsid w:val="00BF3534"/>
    <w:rsid w:val="00C25CC1"/>
    <w:rsid w:val="00C33F49"/>
    <w:rsid w:val="00C371B0"/>
    <w:rsid w:val="00C7250F"/>
    <w:rsid w:val="00CA4355"/>
    <w:rsid w:val="00CC3138"/>
    <w:rsid w:val="00CD1545"/>
    <w:rsid w:val="00CE0823"/>
    <w:rsid w:val="00CF544D"/>
    <w:rsid w:val="00D00EF1"/>
    <w:rsid w:val="00D138E4"/>
    <w:rsid w:val="00D31768"/>
    <w:rsid w:val="00D33AF9"/>
    <w:rsid w:val="00D363F7"/>
    <w:rsid w:val="00D447F1"/>
    <w:rsid w:val="00D47536"/>
    <w:rsid w:val="00D567BB"/>
    <w:rsid w:val="00D568B8"/>
    <w:rsid w:val="00D5778A"/>
    <w:rsid w:val="00D72985"/>
    <w:rsid w:val="00D7456D"/>
    <w:rsid w:val="00D7508B"/>
    <w:rsid w:val="00DA52E0"/>
    <w:rsid w:val="00DA5B3E"/>
    <w:rsid w:val="00DC63EE"/>
    <w:rsid w:val="00DD1EF2"/>
    <w:rsid w:val="00DD7C56"/>
    <w:rsid w:val="00DE24C8"/>
    <w:rsid w:val="00DF6665"/>
    <w:rsid w:val="00DF6F7E"/>
    <w:rsid w:val="00E15C84"/>
    <w:rsid w:val="00E31396"/>
    <w:rsid w:val="00E34F08"/>
    <w:rsid w:val="00E41EA1"/>
    <w:rsid w:val="00E61AB8"/>
    <w:rsid w:val="00E706DA"/>
    <w:rsid w:val="00E75DEF"/>
    <w:rsid w:val="00E83E93"/>
    <w:rsid w:val="00E90EB5"/>
    <w:rsid w:val="00E91F07"/>
    <w:rsid w:val="00E94FBF"/>
    <w:rsid w:val="00EA711B"/>
    <w:rsid w:val="00EC772B"/>
    <w:rsid w:val="00EF0C2D"/>
    <w:rsid w:val="00EF6D60"/>
    <w:rsid w:val="00F02059"/>
    <w:rsid w:val="00F2228D"/>
    <w:rsid w:val="00F45161"/>
    <w:rsid w:val="00F46E78"/>
    <w:rsid w:val="00F5642A"/>
    <w:rsid w:val="00F841A1"/>
    <w:rsid w:val="00F857BC"/>
    <w:rsid w:val="00F86F9B"/>
    <w:rsid w:val="00FA59F5"/>
    <w:rsid w:val="00FC228B"/>
    <w:rsid w:val="00FC2309"/>
    <w:rsid w:val="00FD22A2"/>
    <w:rsid w:val="00FD4693"/>
    <w:rsid w:val="00FE1FC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859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859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985973"/>
    <w:pPr>
      <w:tabs>
        <w:tab w:val="left" w:pos="440"/>
        <w:tab w:val="right" w:leader="dot" w:pos="8828"/>
      </w:tabs>
      <w:spacing w:after="100" w:line="36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3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9859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85973"/>
    <w:rPr>
      <w:rFonts w:asciiTheme="majorHAnsi" w:eastAsiaTheme="majorEastAsia" w:hAnsiTheme="majorHAnsi" w:cstheme="majorBidi"/>
      <w:color w:val="1F4D78" w:themeColor="accent1" w:themeShade="7F"/>
      <w:sz w:val="24"/>
      <w:szCs w:val="24"/>
    </w:rPr>
  </w:style>
  <w:style w:type="paragraph" w:customStyle="1" w:styleId="j">
    <w:name w:val="j"/>
    <w:basedOn w:val="Normal"/>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98597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9859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8597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D00C4-B5AB-444B-AFF5-1EA5500A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6506</Words>
  <Characters>35785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2018-08-20T16:41:00Z</cp:lastPrinted>
  <dcterms:created xsi:type="dcterms:W3CDTF">2018-11-06T19:17:00Z</dcterms:created>
  <dcterms:modified xsi:type="dcterms:W3CDTF">2018-11-06T19:17:00Z</dcterms:modified>
</cp:coreProperties>
</file>